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290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abril de 1986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Por escrito que tuvo entrada en el Registro deeste Tribunal el pasado día 7 de marzo D. Torcuato Hernández Olea interpone recurso de amparo contra la Ley 51/84 de 25 de diciembre que modificó la Ley 20/81 de 6 de julio sobre creación de reserva activa.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El actor solicita de este Tribunal que en la Ley 51/84 de 25 de diciembre se entiendan incluidos junto con los capitanes y tenientes de la Guardia Civil, los suboficiales del referido cuerpo. El solicitante de amparo, fundamenta su pretensión en la pretendida vulneración de los arts. 14 y 23.2 de la Constitución Española al no incluirse en el referido texto legal a los miembros de la Guardia Civil con categoría de suboficiales.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UNICO.- El artículo 4.2 de la Ley Orgánica del Tribunal Constitucional (LOTC) dispone que "el Tribunal Constitucional apreciará de oficio o a instancia de parte su falta dejurisdicción o competencia".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La Constitución atribuye en el art. 161.1.a) al Tribunal Constitucional competencia para conocer del recurso de inconstitucionalidad contra leyes y disposiciones normativas con fuerza de ley. Vía procesal distinta es la del recurso de amparo regulado en el párrafo b) del mismo artículo y apartado que remite a lo dispuesto en la Ley en cuanto a los supuestos de su procedencia y la forma de ejercerlo.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La Ley Orgánica del Tribunal Constitucional dispone, en su art. 41.2, que el recurso de amparo constitucional protege a los ciudadanos frente a las violaciones originadas por disposiciones, actos jurídicos o simple vía de hecho de los poderes públicos. Aunque la Ley es, sin duda, una disposición emanada del Poder legislativo, su impugnación está reservada sólo a los órganos enumerados en el art. 162.1.a) de la Constitución que desarrolla el art. 32 de la LOTC y sustraída, por tanto, al ataque directo de los ciudadanos, los cuales, sin embar go, cuando invoquen un derecho o interés legítimo, podrán impugnar los actos de aplicación de la ley e indirectamente poner así en cuestión la validez de ésta, que incluso podrá ser declarada a través del procedimiento previsto en el art. 55.2 de la LOTC. Esta configuración constitucional y legal del recurso de amparo, determina también la competencia del Tribunal Constitucional.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Carece por tanto de competencia el Tribunal para conocer de la pretensión deducida en el presente caso por D. Torcuato Hernández Olea, y por tanto, en uso de la facultad que le confiere el art. 4.2 de la LOTC, procede así declararlo.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Por lo expuesto, la Sala ha acordado declarar de oficio la incompetencia del Tribunal para conocer del recurso directo contra la Ley 51/84, que modifica la Ley 20/81 sobre creación de reserva activa formulado por D. Torcuato Hernández Olea. Archívense las actuaciones.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tres de abril de mil novecientos ochenta y seis.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