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49/1985, planteó la presente cuestión de inconstitucionalidad, admitida a trámite por providencia de la Sección tercera de 5 de febre 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ellas del 1985, fueron acumuladas por Auto del Pleno de 16 de julio del pasado año, por darse los presupuestos previstos en el articulo 83 de la Ley Orgánica del Tribunal Constitucional ( L0TC ),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reproduciendo las alegaciones formuladas en la cuestión de inconstitucionalidad número 1.178/85, e interesa la suspensión.</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así 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80/1986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