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390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24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número 429/84, planteó la presente cuestión de inconstitucionalidad, admitida a trámite por providencia de la Sección Cuarta de 12 de febrero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artículos 134.7, 9.3 y 14 en relación con el 33.3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dia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processos hasta que recayera Sentencia en las ya acumuladas, en razón a facilitar la más pronta resolución en estas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mediante escrito presentado el 5 de Marzo último y solicita la suspensión de la tramitación de la presente cuestión, como se ha acordado en otras similares, hasta que recaiga Sentencia en las ya acumuladas, reproduciendo las alegaciones efectuadas en relación con la cuestión 1139/85.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presentado el 6 de marzo de 1986, en el que formula alegaciones en solicitud de que en su día se dicte Sentencia, e interesa asimismo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objetivos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varías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146/86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