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número 454/84, plantea cuestión de inconstitucionalidad, admitida a trámite por providencia de 9 de abril de 1986 de la Sección Tercera de este Tribunal, en relación con la Disposición adicional 6a,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también cuestiones de inconstitucionalidad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y 248,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25 de abril último y solicita de este Tribunal que, a semejanza de lo acordado en otras similares, suspenda la tramitación de la misma hasta que recaiga sentencia en las ya acumuladas.</w:t>
      </w:r>
    </w:p>
    <w:p w:rsidRPr="00C21FFE" w:rsidR="00AD51A7" w:rsidRDefault="008777C4">
      <w:pPr>
        <w:rPr/>
      </w:pPr>
      <w:r w:rsidRPr="&lt;w:rPr xmlns:w=&quot;http://schemas.openxmlformats.org/wordprocessingml/2006/main&quot;&gt;&lt;w:lang w:val=&quot;es-ES_tradnl&quot; /&gt;&lt;/w:rPr&gt;">
        <w:rPr/>
        <w:t xml:space="preserve">El Letrado del Estado formula sus alegaciones en escrito presentado el 8 de mayo último, interesando la acumulación de la cuestión a las ya acumuladas por auto de 16 de julio de 1985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acceder a la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311/86 a las ya acumuladas señaladas en el Antecedente segundo.</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