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559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21 de julio del pasado año se formuló solicitud de amparo constitucional por don Manuel Cereza Rodríguez contra la Sentencia dictada por el Tribunal Supremo el 18 de junio anterior, confirmatoria de la dictada en 24 de octubre de 1984 por la Audiencia Provincial de Barcelona. Solicitaba que se le nombrase Procurador del turno de oficio, pues tenía Abogado de su propia designación.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Nombrado que le fue Procurador de oficio se formalizaron las demandas de amparo y gratuidad, y para sustanciar esta segunda se formó la correspondiente pieza separada, en que han sido oídos el Letrado del Estado y el Ministerio Fiscal, quienes han mostrado su conformidad a la petición deducida.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las actuaciones practicadas y documentos acompañados por la parte recurrente aparece que éste se halla preso en la Cárcel Modelo de Barcelona sin que en la vía judicial se haya constatado la solvencia del mismo ni aparezca que tiene ingresos superiores al doble del salario mínimo interprofesional, por lo que se halla comprendido en el supuesto regulado por el artículo 14 de la Ley de Enjuiciamiento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otorgar a don Manuel Cereza Rodríguez el beneficio de gratuidad para litigar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