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dia 24 de julio de 1986, el Procurador de los Tribunales D. Jesús Alfaro Matos, en nombre y representación del Comité de Empresa de Ford España, S.A., formaliza demanda de amparo contra la sentencia de la Sala Primera de la Audiencia Territorial de Valencia de 7 de mayo de 1986, dictada en recurso contencioso administrativo número 408/1.984, promovido por la Empresa Ford España, S.A. contra resolución de la Dirección General de Trabajo de la Consejería de Trabajo y Seguridad Social de la Generalidad Valenciana, por entenderla generadora de una situación de indefensión, que vulnera el art. 24.1 de la Constitución.</w:t>
      </w:r>
    </w:p>
    <w:p w:rsidRPr="00C21FFE" w:rsidR="00AD51A7" w:rsidRDefault="008777C4">
      <w:pPr>
        <w:rPr/>
      </w:pPr>
      <w:r w:rsidRPr="&lt;w:rPr xmlns:w=&quot;http://schemas.openxmlformats.org/wordprocessingml/2006/main&quot;&gt;&lt;w:lang w:val=&quot;es-ES_tradnl&quot; /&gt;&lt;/w:rPr&gt;">
        <w:rPr/>
        <w:t xml:space="preserve">Asimismo se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la demanda a trámite, la Sección 4ª de este Tribunal, por Providencia de 10 de septiembre de 1.986, acordó formar la pieza separada de suspensión y, conforme a lo dispuesto en el art. 56.2 de la L.O.T.C., otorgar un plazo común de tres días al Ministerio Fiscal y a los recurrentes a fin de que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Fiscal presentó sus alegaciones. La cuestión de fondo planteada por los trabajadores ante las autoridades administrativas y en el procedimiento contencioso-administrativo consiste en la legalidad del cambio de horario de trabajo decidido por la empresa; pero el tema planteado ante el Tribunal Constitucional es el de la existencia de una posible indefensión en el citado procedimiento judicial por no haber sido emplazado en el mismo, en forma personal y directa el comité de empresa, a pesar de haber sido parte en el procedimiento administrativo precedente y constar en el expediente el domicilio al que efectuar el emplazamiento. De ello resulta que la ejecución del fallo judicial, es decir, la aplicación de un nuevo horario laboral, no supone un perjuicio irremediable, pues, de otorgarse el amparo, podría repetirse el proceso con asistencia de los recurrentes, y de cambiarse el sentido del fallo volver al horario antiguo. Si se apreciase algún perjuicio, que nunca sería irreversible, podría ser reparado por otros medios. Existe además, un interés general en el cumplimiento de las resoluciones judiciales, así como el derecho de tutela judicial de tercero en este caso la empresa. Por todo ello el Fiscal solicitó que no se acceda a la suspensión solicitada. El recurrente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y de los derechos fundamentales o libertades públicas de un tercero. En el presente caso, como señala el Ministerio Fiscal, no se aprecia que la ejecución de la sentencia recurrida haga perder al amparo su finalidad, caso de ser otorgado, pues la concesión de ese otorgamiento sería la repetición de proceso contencioso-administrativo, previo emplazamiento personal y directo del recurrente, y en la hipótesis de que una nueva sentencia obligase a volver al horario anterior no se habría producido ningún perjuicio irreparable. Tanto es así que tampoco el recurrente concreta cual pueda ser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ha admitido, junto al caso de suspensión previsto en el citado art. 56.1 de la L.O.T.C. otrOs, en que aún no existiendo un perjuicio irreparable, la suspensión podía ser acordada ponderando los intereses en presencia y los daños que se irrogarían a los interesados en caso de ejecutarse el acto recurrido. Pero tampoco aquí procede esa suspensión facultativa, pues como advierte el Fiscal, la suspensión, si bien sería favorable a los intereses de los trabajadores, no la sería a los de la empresa, por lo que debe darse preferencia al mantenimiento de la decisión judicial hasta tanto no se decida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denegar la suspensión solicitada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