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octubre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Consejo Ejecutivo de la Generalidad de Cataluña, representado por el Abogado Don Ramón María Llevadot i Roig, mediante escrito presentado el 2 de julio de 1986, plantea conflicto positivo de competencia frente al Gobierno de la Nación, en relación con los artículos 5; 6; 8; 9; 10; 11; 12 y Disposición Adicional del Real Decreto 382/1986, de 10 de febrero, por el que se crea, organiza y regula el funcionamiento del Registro de Entidades Locales.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Dicho conflicto, registrado con el número 732/86, es admitido a trámite por providencia de 9 de julio actual, de la Sección 2ª del Pleno de este Tribunal, en la que, a los efectos del art. 64.1 de la Ley Orgánica del mismo (LOTC), se acuerda dar traslado de la demanda y documentación adjunta al Gobierno 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Gobierno Vasco, representado por el Abogado don Javier Balza Aguilera, por escrito presentado el 5 de julio del corriente, plantea asimismo conflicto positivo de competencia en relación con el articulo 7 y la Disposición Adicional, párrafo segundo, del Real Decreto 382/1986, de 10 de febrero, por el que se crea, organiza y regula el funcionamiento del Registro de Entidades Locales.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mencionado conflicto, registrado con el número 747/86, es admitido a trámite por providencia de 9 de julio actual dictada por la Sección 3ª del Pleno de este Tribunal, acordándose en ella el correspondiente traslado al Gobierno de la Nación para personación y alegaciones.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El Letrado del Estado, en la representación procesal del Gobierno, comparece en escrito de 3 de septiembre de 1986, en el que solicita que, atendida la identidad de naturaleza procesal y la conexión de objeto y fundamentos de los conflictos números 732/86 y 747/86, planteados, respectivamente, por el Consejo Ejecutivo de la Generalidad de Cataluña y por el Gobierno Vasco, se acuerde la acumulación de los mismos para su ulterior tramitación y decisión unitarias, suspendiéndose, entre tanto, el plazo que le fue conferido para formulación de alegaciones.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La Sección 3ª del Pleno del Tribunal, en providencia de 10 de septiembre del presente año, acuerda oír a los Abogados representantes del Consejo Ejecutivo de la Generalidad de Cataluña y del Gobierno Vasco para que expongan lo que estimaren procedente respecto a la acumulación solicitada por el Letrado del Estado. Transcurrido el plazo concedido por la anterior providencia no se han presentado alegaciones por ninguna de las partes.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Único.- Los dos conflictos positivos de competencia han sido planteados en relación con el mismo Real Decreto, 382/ 86 por el que se crea, organiza y regula el funcionamiento del Registro de Entidades Locales. Se encuentra justificada, por lo tanto, en razón a su conexión objetiva, según lo establecido en el art. 83 LOTC, la unidad de tramitación y decisión de ambos procesos.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Por lo expuesto, el Pleno acuerda acumular el conflicto positivo registrado con el número 747/86, planteado por el Gobierno Vasco, al registrado con el número 732/86 interpuesto por el Consejo Ejecutivo de la Generalidad de Cataluña. Se concede un nuevo plazo de veinte dias al Letrado del Estado para que con relación a ambos conflictos de competencia presente las alegaciones que considere convenientes.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veintitrés de octubre de mil novecientos ochenta y seis.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