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859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en su recurso 222/85, planteó la presente cuestión de inconstitucionalidad, admitida a trámite por providencia de 17 de septiembre de 1986, de la Sección 13 de este Tribunal, en relación con la disposición adicional 63, número 3, de la Ley 5/1983, de 29 de junio, de Medidas Urgentes en Materia Presupuestaria, Financiera y Tributaria, en cuanto crea un gravamen complementario para 1983 a la Tasa de juego sobre máquinas de azar, por estimar que puede infringir los artículos 134.7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de Pamplona, Cáceres, Valencia y Santa Cruz de Tenerife, han planteado también otras cuestiones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artículo 83 de la Ley Orgánica del Tribunal Constitucional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 1019, 1033, 1061, 1088, 1139, 1159, 1177, 1178, 1182, 1203, 1204, 1205, de 1985, y 75, 76, 77, 78, 79, 80, 81, 93, 94, 95, 145, 146, 246, 248, 311, 424, 475, 550, 568, 572, 664, 718, 753 y 754 de 1986, el Tribunal acordó no acceder a la acumulación solicitada y decidió suspender la tramitación de cada uno de los procesos hasta que recayera sentencia en las ya acumuladas, con el fin de facilitar una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se persona, mediante escrito de 25 de septiembre último y solicita la suspensión de la misma hasta que recaiga sentencia en las varias acumuladas que están en trámite.</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de 3 de octubre último y solicita también, por otrosí, que se suspenda la tramitación de la presente cuestión hasta que recaiga sentencia definitiva sobre las que con el mismo objeto han sido acumuladas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proceder a su acumulación, con el fin de no retardar excesivamente la conclusión de los ya acumulados -dado que cada incidente de acumulación supone la paralización de las cuestiones implicadas en tanto se sustancia-, obliga en la presente cuestión a mantener el mismo criterio, tal como ha sido solicitado por el Ministerio Fiscal y el Letrado del Estado .</w:t>
      </w:r>
    </w:p>
    <w:p w:rsidRPr="" w:rsidR="00AD51A7" w:rsidRDefault="008777C4">
      <w:pPr>
        <w:rPr/>
      </w:pPr>
      <w:r w:rsidRPr="&lt;w:rPr xmlns:w=&quot;http://schemas.openxmlformats.org/wordprocessingml/2006/main&quot;&gt;&lt;w:szCs w:val=&quot;24&quot; /&gt;&lt;/w:rPr&gt;">
        <w:rPr/>
        <w:t xml:space="preserve">Por lo expuesto, el Pleno acuerda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