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15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su recurso 27/84, planteó la presente cuestión de inconstitucionalidad, admitida a trámite por providencia de 19 de noviembre de 1986, de la Sección Segunda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que puede infringir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de Pamplona, Cáceres, Valencia y Santa Cruz de Tenerife,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380,381, 389, 390, 395, 396, 397, 398, 399, 400, 430, 431, 444, 445, 446 y 447, todas ellas de 1985, fueron acumuladas por auto del Pleno de 16 de julio del pasado año, por darse los presupuestos previstos en el artículo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1019, 1033, 1061, 1088, 1139, 1159, 1177, 1178, 1182, 1203, 1204, 1205, de 1985, y 75, 76, 77, 78, 79, 80, 81, 93, 94, 95, 145, 146, 246, 248, 311, 424, 432, 433, 434, 455, 459, 460, 475, 550, 568, 572, 644, 664, 698, 718, 753, 754, 864, 865, 929, 993, 1082, 1094, 1115, 1116, 1117, 1118 y 1119 de 1986, el Tribunal acordó no acceder a la acumulación solicitada y decidio suspender la tramitación de cada uno de los procesos hasta que recayera sentencia en las ya acumuladas, con el fin de facílitar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de 11 de diciembre último y solicita la suspensión de la misma hasta que recaiga sentencia en las varias acumuladas que están en trámite.</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de 12 de diciembre último y solicita también, por otrosí, que se suspenda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que cada incidente de acumulación supone la paralización de las cuestiones implicadas en tanto se sustancia, obliqa en la presente cuestión a mantener el mismo criterio, tal como ha sido solicitado por el Ministerio Fiscal y el Letrado del Estado.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