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267/84, planteó la presente cuestión de inconstitucionalidad, admitida a trámite por providencia de 3 de diciembre de 1986, de la Sección Cuarta del Pleno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inflingir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distintas Audiencias,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 1985, por darse los presupuestos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704,956, 1019, 1033, 1061, 1088, 1139, 1159, 1177, 1178, 1182, 1203, 1204 y 1205 de 1985, y 75, 76, 77, 78, 79, 80, 81, 93, 94, 95, 145, 146, 246, 248, 311, 424, 432, 433, 434, 455, 459,460, 475, 550, 568, 572, 644, 698, 718, 753, 754, 864, 865, 929, 993, 1082, 1094, 1115, 1116, 1117, 1118 y 1119 de 1986, el Tribunal acordó no acceder a la acumulación solicitada y decidió suspender la tramitación de cada uno de los procesos hasta que recayera sentencia en las ya acumuladas, con el fin de facilitar una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Letrado del Estado se persona, mediante escrito de 16 de diciembre de 1986, en el que solicita, por medio de otrosí, que se suspenda la tramitación de la presente cuestión hasta que recaiga sentencia sobre las que, con el mismo objeto, han sido acumuladas por el Tribunal.</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de 18 de diciembre último y solicita la suspensión de la presente cuestión hasta que recaiga sentencia en las varias acumuladas que están en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