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septiembre de 1986, tuvo entrada en este Tribunal Constitucional un escrito de don Karl Tore Haakan Gustavsson, sin patrocinio letrado y sin estar representado por procurador, por medio del cual manifestaba su intención de interponer recurso de amparo constitucional, en nombre propio y en representación de la Sociedad Mercantil "Foga España, S.A" contra el Auto dictado por el Juzgado de Instrucción núm. 6 de los de Madrid de fecha 3 de junio de 1.985 dictado en las Diligencias Previas nº 1.885/84, por el cual se acuerda el archivo de las mismas y contra el Auto de 12 de diciembre del mismo año, dictado por la Sección 2º de la Audiencia Provincial de esta capital por virtud del cual se desestima el recurso de apelación interpuesto contra el anterior; solicitando se les designasen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en reunión del día 12 de noviembre de 1985, acordó dirigir comunicaciones al Presidente del Consejo General de la Abogacía y Decano del Ilustre Colegio de Procuradores de esta Capital, interesando la designación de los Colegiados que por turno correspondiera, habiéndose recibido comunicación designándose como Abogado a don Jaime Sanz de Bremond y Mayans y como Procuradora a Dª Mercedes Blanco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acuerdo de 10 de diciembre del pasado año la Sección Segunda de este Tribunal tuvo por designados por el turno de oficio como Abogado a don Jaime Sanz Bremond y Mayans y como Procuradora a Dª Mercedes Blanco Fernández, acordando hacer saber dicha designación a los mismos y a los solicitantes de amparo; y que se entregasen a la expresada Procuradora copias de los escritos presentados, para que los pasase a estudio del Letrado designado, a fin de que si éste aceptaba el cargo, formalizara la demanda de amparo en el plazo de 20 días con sujeción a lo dispuesto en el artículo 49 de la Ley Orgánica del Tribunal Constitucional, y que en escrito separado solicitare la concesión de los beneficios de justicia gratuita para cada uno de los solicitantes de amparo formalizando las correspondientes demandas, conforme al artículo 20 de la Ley de Enjuiciamiento Civil. Dicho acuerdo, fue debidamente notificado al solicitante de amparo y al Letrado y Procurador citados anteriormente; habiendo transcurrido con exceso el plazo que en aquél se les concedía sin que se presentaran escritos formalizando las demandas de amparo y justicia gratuita que allí se disponían.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Al haber transcurrido el plazo otorgado al efecto sin que se hayan formalizado las demandas de amparo y de justicia gratuita, se ha producido la caducidad del trámite conferido y, juntamente con él, la del recurso de amparo al faltar el esencial acto inicial de ejercicio de la acción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caducado el recurso de ampato promovido por Foga España, S.A. y don Karl Tore Haakan Gustavsson y comunicarlo al Ilustre Colegio de Abogados de Madrid a los efectos procedentes respecto del Abogado designado de oficio.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