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13 de enero de 1987, la Procuradora doña Beatriz Ruano Casanova, en nombre de «Altos Hornos del Mediterráneo, Sociedad Anónima», interpone recurso de amparo en virtud de los hechos y fundamentos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1976 se aprobó el proyecto de expropiación de los terrenos necesarios para construir la IV Planta Siderúrgica Integral, en Sagunto. Disconforme con el justiprecio correspondiente a su parcela expropiada, el propietario don Gabriel Izquierdo Soler presentó recurso de reposición ante el Instituto Nacional de la Vivienda y posterior recurso contencioso-administrativo, en junio de 1977. Remitidas las actuaciones de este recurso por la Audiencia Territorial de Valencia a la Audiencia Nacional, sin que por aquélla ni por ésta se diese notificación o traslado alguno a la hoy recurrente, pese a ser la beneficiaria de la expropiación, se dictó Sentencia por la Audiencia Nacional el 30 de octubre de 1981 estimando en parte el recurso contencioso-administrativo. Esta Sentencia fue apelada por el Abogado del Estado, sin que, de nuevo, se diese audiencia alguna a la sociedad demandante de amparo que, ignorando el litigio fue mantenida totalmente al margen del procedimiento. La Sala Quinta del Tribunal Supremo confirmó, por Sentencia de 10 de mayo de 1984, la de la Audiencia Nacional apelada. Sólo cuando el interesado quiso hacer ejecutiva la Sentencia, tuvo la hoy recurrente conocimiento de la misma. Intentó entonces aquélla que se le tuviera por parte y solicitó -sin señalar en qué fecha- recurso de apelación, que fue rechazado y, el 9 de abril de 1985, interpuso recurso de súplica contra la providencia que declaró no haber lugar a aquél, fundándose en que el litigio se resolvió inaudita parte. La Audiencia Nacional, por Auto de 5 de julio de 1985, desestimó el recurso de súplica, por entender que, resuelto en su día un recurso de apelación interpuesto contra su Sentencia de 30 de octubre de 19 81, por otra Sentencia firme del Tribunal Supremo, no cabía admitir un nuevo recurso de apelación. Contra dicho Auto, se formuló recurso de queja, que fue igualmente desestimado con fecha 9 de octubre de 1986, y contra la resolución de esta última fecha, se presentó recurso de súplica, desestimado por Auto de la Sala Quinta del Tribunal Supremo, de 12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recurrente que se le ha causado indefensión porque, pese a ser la beneficiaria de la expropiación, no fue oída ni en el procedimiento administrativo de determinación del justiprecio de la finca de referencia, ni en el posterior proceso contencioso-administrativo, aduciendo al tiempo la ilegalidad de la definitiva resolución judicial de dicho proceso, todo ello en infracción de los principios de jerarquía normativa y seguridad jurídica del art. 9 de la Constitución (C.E.), así como de los arts. 24 y 105 c) del propio Texto constitucional. Asimismo, estima que el Tribunal Supremo no ha tenido en cuenta, en la Sentencia ahora impugnada, su propia doctrina establecida en otros casos análogos sobre la procedencia o improcedencia de incrementar las valoraciones de los terrenos expropiados para la construcción de la Planta Siderúrgica Integral de Sagunto. Por todo ello, solicita de este Tribunal que declare la nulidad de las Sentencias de la Audiencia Nacional y del Tribunal Supremo mencionadas, por su transgresión de los derechos y garantías establecidos en los arts. 24, 26 (?), 105 y 106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la Sección conforme a lo dispuesto en el art. 50 de la Ley Orgánica del Tribunal Constitucional, concedió a la entidad recurrente y al Ministerio Fiscal un plazo de diez días para alegaciones en relación con la posible concurrencia de la causa de inadmisión del recurso de amparo consistente en haberse presentado la demanda fuera del plazo [art. 50.1 a), en conexión con el art. 44.2, ambos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margen de otras consideraciones sobre el contenido de la demanda, el Ministerio Fiscal sostiene que la misma es extemporánea, ya que el plazo para recurrir en amparo no se ve interrumpido por el uso de recursos inconvenientes como los utilizados por el recurrente, siendo así que aquella demanda se interpone casi dos años después de que el mismo evidenciara conocer plenamente la Sentencia que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«Altos Hornos del Mediterráneo, Sociedad Anónima», considera que el recurso de amparo no es extempóraneo, pues se interpuso en el plazo de veinte días desde que se notificó la Sentencia de 12 de diciembre de 1986 aludida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última de las Sentencias impugnadas en este recurso -la de la Sala Quinta del Tribunal Supremo- lleva fecha de 10 de mayo de 1984. La recurrente afirma haber tenido noticia de esta Sentencia y de la de la Audiencia Nacional que confirma -en suma, de todo el proceso cuando se quiso hacer ejecutiva aquélla, sin indicar fecha alguna, aunque no más tarde de los primeros meses de 1985. Pero entonces en vez de interponer directamente el recurso de amparo, como hubiese procedido, formuló en fecha también desconocida, un recurso de apelación contra la Sentencia de la Audiencia Nacional confirmada por aquélla, a todas luces improcedente, puesto que no se puede recurrir nuevamente en apelación lo que ya ha sido confirmado en dicha instancia por otra Sentencia. Naturalmente, la Audiencia Nacional rechazó la apelación, por providencia cuya fecha tampoco se menciona, y contra tal providencia interpuso la interesada recurso de súplica el 9 de abril de 1985, desestimado por Auto de 5 de julio de 1985, posteriormente confirmado en queja y en súplica por sendos Autos del Tribunal Supremo de 9 de octubre y 12 de diciembre de 1986.  Pero, no imputándose violación constitucional alguna a este último Auto, sino a actuaciones firmes tras la Sentencia de 10 de mayo de 1984, es clara la extemporaneidad de la presente demanda, pues, como ha declarado este Tribunal «el plazo para recurrir en amparo es un plazo de caducidad que no puede quedar al arbitrio de las partes ni ser objeto de prórrogas artificiales, por lo que no es admisible pretender alargarlo y, sobre todo, reabrirlo fraudulentamente mediante la prolongación asimismo artificial de las actuaciones judiciales previas o la utilización de recursos inexistentes en la Ley o manifiestamente improcedentes contra una resolución firme» (Sentencia 120/1986, de 22 de octubre y 143/1986, de 19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