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28 de julio de 1986, doña Dolores Juárez Cobo, solicitó designación de Procurador del turno de oficio para interponer recurso de amparo, acordando la Sección Primera de este Tribunal proceder a tal designación y, verificada ésta, requerir a la parte demandante para la formalización de demanda de amparo, que ha verificado el 16 de diciembre de 1986, y para que en escrito separado instase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Por escrito, igualmente presentado el 16 de diciembre de 1986, la demandante de amparo formula demanda incidental para la obtención del beneficio de justicia gratuita para litigar en el recurso interpuesto. Funda su solicitud en que es viuda, viendo solamente de los ingresos de una pensión de viudedad en cuantía mensual de 22.700 pesetas y que el único bien que posee es la mitad indivisa de la casa en la que habita en la localidad de Porcuna, calle Ruiz López, 43, correspondiendo la otra mitad a sus dos hijos, mayores de edad y casados, careciendo de otros bienes o rentas. Indica, finalmente, que no se han podido aportar las certificaciones acreditativas de la contribución que satisface la actora, por lo que deberían reclamarse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sustanciar esta pretensión incidental se formó la pieza separada que ahora se resuelve en la que ha sido oído el Ministerio Fiscal, quien ha mostrado su conformidad a la concesión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actuaciones aparecen elementos suficientes para considerar que la recurrente se halla ostensiblemente comprendida en el supuesto previsto en el artículo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doña Dolores Juárez Cobo el beneficio de gratuidad para litigar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