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26 de noviembre de 1986 la Sala de lo Contencioso-Administrativo de la Audiencia Provincial de Santa Cruz de Tenerife acordó plantear Cuestión de Inconstitucionalidad del artículo 13.1 de la Ley 24/1983 de 21 de diciembre de Medidas Urgentes de Saneamiento y Regulación de las Haciendas Locales. El planteamiento de la Cuestión de Inconstitucionalidad mencionada tuvo entrada en este Tribunal el día 13 de diciembre de 1986 y se formuló previo cumplimiento de los reguisitos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enero de 1987 la Sección 2ª de este Tribunal acordó admitir a trámite la Cuestión de Inconstitucionalidad propuesta y dar traslado de las actuaciones, en cumplimiento de lo dispuesto en el artículo 37.2 de la LOTC, al Congreso de los Diputados, al Senado, al Gobierno y al Fiscal General del Estado, por los conductos legales, a fin de que en el improrrogable plazo de 15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por escrito de 26 de enero de 1987, y a la vista de las numerosas cuestiones de inconstitucionalidad planteadas sobre el mismo punto, solicitó que se le tuviera por personado y que se suspendiera la tramitación de la Cuestión hasta que recayera Sentencia en alguna de las ya propuestas.</w:t>
      </w:r>
    </w:p>
    <w:p w:rsidRPr="00C21FFE" w:rsidR="00AD51A7" w:rsidRDefault="008777C4">
      <w:pPr>
        <w:rPr/>
      </w:pPr>
      <w:r w:rsidRPr="&lt;w:rPr xmlns:w=&quot;http://schemas.openxmlformats.org/wordprocessingml/2006/main&quot;&gt;&lt;w:lang w:val=&quot;es-ES_tradnl&quot; /&gt;&lt;/w:rPr&gt;">
        <w:rPr/>
        <w:t xml:space="preserve">El Presidente del Senado, por su parte, manifestó que se le tuviera por personado mediante escrito de 28 de enero de 1987, exponiendo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Presidente del Congreso de los Diputados por escrito de 29 de enero de 1987 expuso su deseo de ofrecer la colabora ción de la Cámara en el Procedimiento.</w:t>
      </w:r>
    </w:p>
    <w:p w:rsidRPr="00C21FFE" w:rsidR="00AD51A7" w:rsidRDefault="008777C4">
      <w:pPr>
        <w:rPr/>
      </w:pPr>
      <w:r w:rsidRPr="&lt;w:rPr xmlns:w=&quot;http://schemas.openxmlformats.org/wordprocessingml/2006/main&quot;&gt;&lt;w:lang w:val=&quot;es-ES_tradnl&quot; /&gt;&lt;/w:rPr&gt;">
        <w:rPr/>
        <w:t xml:space="preserve">El Letrado del Estado, mediante escrito de 6 de febrero de 1987, y en función de una interpretación del principio de legalidad en materia tributaria mucho menos estricta de la que rige en el campo penal, termina solicitando que se dicte Sentencia declarando la conformidad con la Constitución del artículo 13 de la Ley 24 de 21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26 de noviembre de 1986 nos planteaba la Sala de lo Contencioso-Administrativo de la Audiencia Provincial de Santa Cruz de Tenerife.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