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del año en curso se registró en este Tribunal un escrito mediante el cual don Luciano Rosch Nadal, Procurador de los Tribunales, interpuso recurso de amparo constitucional en nombre y representación de don Fernando Rayo Vázquez contra el Auto del Juzgado de Instrucción núm. 7 de Sevilla, por el que se declara incompetente en procedimiento de habeas corpus, por presunta vulneración de los derechos reconocidos en el art. 24, apartados 1 y 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 a) En fecha 16 de septiembre del presente año se dictó Auto de procesamiento y prisión preventiva contra el recurrente en amparo, Guardia Civil, por el Juzgado Togado Militar Especial de la Capitanía General de la 2.ª Región Militar, por la comisión de un supuesto delito de deserción. b) Con fecha 31 de octubre del corriente año, el demandante instó procedimiento de habeas corpus ante el Juzgado de Instrucción núm. 7 de Sevilla, en función de guardia. En la misma fecha, el Juzgado referido dictó Auto declarando no haber lugar a incoar el procedimiento de habeas corpus, previo informe del Ministerio Fiscal en el mismo sentido. El razonamiento se basaba en la no concurrencia de los requisitos previstos en el art. 1 de la Ley Orgánica 6/1984, así como lo previsto en el párrafo tercero del art. 2 de dicha Ley, a tenor del cual «en el ámbito de la jurisdicción militar será competente para conocer de la solicitud de habeas corpus el Juez Togado Militar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 a) Considera la representación actora que el Auto del Juzgado de Instrucción ha vulnerado el derecho a la «tutela efectiva de Jueces y Tribunales y el derecho al Juez legal o Juez natural». La vulneración indicada, en concreto la segunda de ellas, se habría producido desde el momento en que el Juez se limita a constatar que el Auto de procesamiento y prisión preventiva ha sido dictado por un órgano de la jurisdicción militar, apreciando en consecuencia su propia falta de competencia, con arreglo a lo dispuesto en el art. 2 de la Ley de habeas corpus. Para el demandante, el Juez de Instrucción debió examinar si, efectivamente, la jurisdicción militar era la competente, en este caso, para procesar y acordar la detnción preventiva, antes de apreciar su falta de competencia. A partir de ahí el escrito de demanda argumenta detenidamente respecto de la jurisdicción a la que constitucional y legalmente se encuentran sometidos los miembros de la Guardia Civil. Resumiendo estos argumentos cabe decir que para la representación actora esta cuestión habría quedado resuelta por el juego del art. 10 de la Ley Orgánica 13/1985 sobre el Código Penal Militar y el art. 7.3, y disposiciones concordantes, de la Ley Orgánica 2/1986, de Fuerzas y Cuerpos de Seguridad, todo ello interpretado a la luz de los preceptos constitucionales (arts. 8, 117.5 y 104). El art. 10 de la Ley Orgánica 13/1985 dice así: «A los efectos de este Código se entenderá que constituyen Fuerza Armada los militares que, portando armas y vistiendo uniforme, prestan servicios legalmente encomendados a las Fuerzas Armadas, reglamentariamente ordenados, así como, en las mismas circunstancias, los miembros de la Guardia Civil, cuando, prestando servicio propio de su Instituto, así lo disponga la Ley a que se refiere el art. 104.2 de la Constitución». Por su parte, el art. 7.3 de la Ley Orgánica 2/1986 declara que «La Guardia Civil sólo tendrá consideración de Fuerza Armada en el cumplimiento de las misiones de carácter militar que se le encomienden, de acuerdo con el ordenamiento jurídico». Y el art. 9, letra b), de esta misma Ley declara que la Guardia Civil depende «del Ministerio de Defensa en el cumplimiento de las misiones de carácter militar que éste o el Gobierno le encomienden. En tiempo de guerra y durante el estado de sitio, dependerá exclusivamente del Ministerio de Defensa». De todo ello la representación actora concluye que sólo en el supuesto de estado de sitio o de las misiones militares específicamente atribuidas por el Ministerio de Defensa o por el Gobierno, tiene la Guardia Civil el carácter de fuerza armada, quedando sometida al fuero militar. En todo lo demás, la jurisdicción a la que está sometido el recurrente, como Guardia Civil, es la jurisdicción ordinaria (art. 8.1 Ley Orgánica 2/1986), sin poder ser procesado por un delito específicamente militar como es el de deserción. El Juez de Instrucción, según la representación actora, debió haber examinado si el Juez Togado Militar era competente en este supuesto, pues, de otro modo, «la propia Constitución y la Ley Orgánica 2/1986 quedarían al arbitrio de la Autoridad de la Guardia Civil, la cual con la simple calificación de una conducta sustraería el conocimiento de la misma a la jurisdicción ordinaria, desapareciendo de esta menera uno de los controles más típicos del Estado de Derecho, cual es el derecho al Juez natural o Juez legal, así como, también, el derecho a la tutela judicial efectiva de Jueces y Tribunales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la declaración de la nulidad del Auto impugnado, así como el reconocimiento del derecho a que el citado Juzgado de Instrucción conociera de la demanda de habeas corpus.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22 de diciembre de 1986, la Sección Cuarta de ese Tribunal acordó conceder un plazo común de diez días al Ministerio Fiscal y al solicitante de amparo para que alegasen lo que estimaran pertinente en relación con la posible existencia de los motivos de inadmisión previstos en el art. 49.2 b) en relación con el 50.1 b) de la LOTC (no haberse presentado la copia de la resolución judicial impugnada) y con el art. 50.2 b) de la misma disposición (carecer la demanda manifiestamente de contenido que justifique una decisión por parte de este Tribunal Constitucional). El Ministerio Fiscal, en escrito que tuvo entrada el día 19 de enero de 1987 manifiesta que no habiéndose incorporado a las actuaciones la resolución recurrida, no puede dictaminar sobre los motivos de inadmisión propuestos. Por su parte, la representación del recurrente, en la misma fecha, expone que aporta la resolución que se recurre; y en cuanto al segundo motivo de inadmisión señalado, aduce que no concurre, al ser evidente la vulneración del derecho a ser juzgado por el Juez natural, por lo que suplica se siga la tramitación del recurso interpuesto. Por providencia de 28 de enero de 1987, la Sección acordó dar traslado de la documentación aportada por el recurrente al Ministerio Fiscal, concediéndole un nuevo plazo de diez días para que alegase lo que estimase conveniente. El Ministerio Fiscal, en su escrito, de 27 de marzo de 1987, manifiesta que cualquier debate sobre la competencia, procesamiento o prisión debería intentarse en la causa militar incoada, y no fuera de ella, sin que quepa instar un procedimiento de habeas corpus para decidir cuestiones de competencia, sin que, por otro lado, sea de aplicación este procedimiento a quien se encuentre en situación de preso preventivo, por lo que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ha subsanado el primer motivo de inadmisión que se le puso de manifiesto, al aportar copia de la resolución que impugna, esto es, el Auto del Juzgado de Instrucción núm. 7 de Sevilla de 31 de octubre de 1986. Ahora bien, de lo que resulta de tal Auto, y de lo expuesto en la demanda y documentos que la acompañan, procede inferir sin duda que concurre el segundo motivo de inadmisión que se le propuso, al carecer manifiestamente la demanda de contenido que justifique una decisión en forma de Sentencia por parte de este Tribunal, conforme prevé 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aduce que el mencionado Auto, al estimar improcedente la solicitud de habeas corpus formulada, vulnera los derechos a la tutela judicial efectiva y al Juez ordinario predeterminado por la Ley que reconoce el art. 24 de la C.E. en sus apartados 1 y 2. Ahora bien, han de tenerse en cuenta que el recurrente formuló la mencionada solicitud hallándose ya procesado por la jurisdicción militar, y sin haber iniciado procedimiento alguno para cuestionar la pertinencia de su sometimiento a esta jurisdicción.  En consecuencia, y como acertadamente señala el auto recurrido, se utilizó un procedimiento inadecuado (el de habeas corpus, según lo previsto en la Ley de 24 de mayo de 1984) para sustraer una causa del conocimiento de la jurisdicción militar, cuando para tal finalidad la vía adecuada es la regulada en los arts. 46 y siguientes de la Ley de Enjuiciamiento Criminal, y el art. 2 de la Ley de 17 de julio de 1984 relativa a conflictos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patente que el recurso de habeas corpus interpuesto resultaba improcedente por la sencilla razón de que el demandante ya se encontraba «a disposición judicial», más exactamente, que la alegada situación de detención ilegal tenía su origen en el Auto del Juez Togado Militar.  En efecto, pueden sin duda producirse supuestos de situaciones de detención y en general, de privación de libertad, contrarias a Derecho, con origen en una resolución judicial. Lo que ocurre es que tales supuestos, a efectos de poner fin a los mismos, tienen sus propios cauces procesales, y, en último término, el recurso de amparo ante el T.C. Pero el procedimiento de habeas corpus, tanto por su origen como por su configuración -y casi cabría decir que por su definición-, no está pensado para estos supuestos, sino precisamente para los de detención ilegal que no tienen su origen en una resolución judicial. Que ello es así lo confirma ya el hecho de que la «garantía» en la que el habeas corpus estriba es esencialmente la «puesta a disposición judicial», como el mismo art. 17.4 C.E.  indica.  Como se decía en la Sentencia 31/1985, fundamento jurídico 2.º, el procedimiento de habeas corpus «comprende potencialmente a todos los supuestos en que se produce una privación de libertad no acordada por el Juez». En consecuencia, no se deriva vulneración alguna de derechos susceptibles de amparo de la resolución del Juez instructor inadmitiendo una solicitud de habeas corpus que, por una parte, se dirigía frente a una privación de libertad de origen judicial, y por otra, pretendía en el fondo el planteamiento.de una cuestión competencial para la que el ordenamiento ha previsto otros cauces. De lo que resulta la necesidad de apreciar que el recurso planteado carece manifiestamente de contenido constitucional que justifique la continuación del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