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día 7 de marzo pasado tuvo entrada en este Tribunal demanda de amparo formulada por don Pablo, don Luis, doña Agripina, don Enrique, doña María Piedad y doña Palmira Domínguez Domínguez exponiéndose en ella, sustancialmente, que en proceso de interdicto de obra nueva número 287/86 seguido a instancia de los demandantes de amparo frente a don Atilano Gago Tundidor, el Juzgado de Primera Instancia número 1 de Zamora dictó Sentencia el 24 de septiembre de 1986 desestimando la demanda interdictal, alzando la suspensión de la obra, condenando en costas a la parte demandante y desestimando su petición de indemnización de daños y perjuicios.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Interpuesto recurso de apelación por los demandantes y comparecidas las partes ante la Audiencia Provincial el demandado no se adhirió a la apelación al devolver los autos en el trámite de instrucción conforme al articulo 858 de la Ley de Enjuiciamiento Civil.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el acto de la vista del recurso los apelantes pidieron la total revocación de la Sentencia apelada, y el demandado apelado su confirmación, quedando excluido del debate la pretensión del demandado de indemnización de los daños y perjuicios que la paralización de la obra le hubiese producido.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Con fecha 12 de febrero de 1987 la Audiencia de Zamora dictó Sentencia revocando parcialmente la de instancia y condenando a los demandantes al pago de las costas y a abonar a los demandados los daños y perjuicios causados por la paralización de la obra.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Los demandantes acuden al amparo constitucional invocando el artículo 24.2 de la Constitución por entender que se les ha causado indefensión.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En otrosí de la demanda de amparo se pedía la suspensión de la ejecución la Sentencia impugnada alegando los perjuicios que tal ejecución podría producir a los demandantes, personas todas ellas profesionalmente modestas y sin medios económicos.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Para sustanciar dicha pretensión se formó pieza separada en la que han sido oidos la parte demandante, nuevamente, el Ministerio Fiscal.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representación demandante ha puntualizado que los perjuicios podrían superar las 1.667.584 pesetas.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Ministerio Fiscal ha manifestado su oposición a la suspension.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Único.- Si la sentencia se ejecutase los demandantes tendrían que abonar la cantidad a que se refieren en sus alegaciones y si el amparo prosperase les habría de ser reintegrada, dicha cantidad, por lo que el amparo no habría perdido su finalidad. Por otra parte, y haciendo abstracción del contenido patrimonial de la indemnización regida por normas de Derecho privado, los demandantes no han aportado justificación alguna de las invocadas dificultades económicas.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Sala ha acordado no suspender la ejecución de la Sentencia de la Audiencia de Zamora impugnada en este proceso.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veinte de mayo de mil novecientos ochenta y 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