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febrero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abril de 1997, tuvo entrada en el Registro General de este Tribunal escrito de la representación procesal de don Joao Antonio Faustino Vicente, por medio del cual promueve recurso de amparo frente a la Sentencia de 15 de marzo de 1997, de la Audiencia Provincial de Alicante, núm. 169/97, que desestima el recurso de apelación interpuesto por el demandante de amparo frente a la de 28 de noviembre de 1996 del Juzgado de Instrucción núm. 3 de San Vicente del Raspeig, recaída en juicio de faltas núm. 77/96. La Audiencia, con estimación parcial del recurso interpuesto por otra de las partes, confirma la pena impuesta al demandante de amparo, como autor de una falta de lesiones, consistente en una multa de 5.000 pesetas, y modifica su responsabilidad civil, fijándola en 320.000 pesetas por las lesiones y 400.000 pesetas por las secuelas sufridas.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que, al celebrarse el correspondiente juicio, no compareció el Médico Forense, a pesar de que había sido solicitada su presencia, ante lo que pidió la suspensión del juicio, que le fue denegada, continuando el mismo y dictándose Sentencia sin que, según alega, hubiese podido someter a contradicción el informe que dicho funcionario evacuó. Denunciado esto en la apelación y solicitada la práctica de la prueba en esa instancia, la Audiencia le contestó que el momento procesal idóneo para discutir la duración de las lesiones era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derecho fundamental a la tutela judicial efectiva, al desconocerse los repetidos intentos del demandante de amparo de someter a contradicción el referido informe forense, así como del derecho a la defensa, al impedírsele la práctica de una prueba correcta y formalmente solicitada.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haría perder al amparo su finalidad, por el desequilibrio que en su economía doméstica se derivaría del pago de las sumas que integran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1997, la Sección acordó, de conformidad con el art. 50.3 LOTC, oír al demandante de amparo y al Fiscal por un plazo de diez días acerca de la posible existencia del motivo de inadmisión consistente en que la demanda carezca manifiestamente de contenido que justifique una decisión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Evacuado el trámite, tanto el demandante de amparo como el Fiscal justificaron la procedencia de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12 de enero de 1998, la Sección Segunda de este Tribunal acordó admitir a trámite la demanda de amparo, previa reclamación de las actuaciones y haber oído nuevamente a las partes sobre la admisibilidad del recurso. A tenor de lo dispuesto en el art. 51 LOTC, requirió a los órganos judiciales que conocieron del asunto para que procedieran al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21 de enero de 1998, el demandante de amparo formuló sus alegaciones, justificando la procedencia de la suspensión en la ilegalidad de la resolución impugnada y el perjuicio económico que la misma le supondría.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20 de enero de 1998, el Fiscal interesó la no suspensión de la condena por tratarse del pago de una suma de dinero, sin que exista dato alguno que permita suponer la insolvencia del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el demandante de amparo la suspensión de una resolución judicial que le impone una multa de 5.000 pesetas por una falta de lesiones y el pago de una indemnización en concepto de responsabilidad civil.</w:t>
      </w:r>
    </w:p>
    <w:p w:rsidRPr="00C21FFE" w:rsidR="00AD51A7" w:rsidRDefault="008777C4">
      <w:pPr>
        <w:rPr/>
      </w:pPr>
      <w:r w:rsidRPr="&lt;w:rPr xmlns:w=&quot;http://schemas.openxmlformats.org/wordprocessingml/2006/main&quot;&gt;&lt;w:lang w:val=&quot;es-ES_tradnl&quot; /&gt;&lt;/w:rPr&gt;">
        <w:rPr/>
        <w:t xml:space="preserve">El Ministerio Fiscal interesa la denegación de lo solicitado por el contenido meramente pecuniario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en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En coherencia con lo expuesto, se ha entendido que las resoluciones judiciales con efectos meramente económicos, en principio, no causan perjuicios irreparables, por lo que no procede su suspensión (AATC 275/1990 ó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 conformidad por lo interesado por el Ministerio Fiscal, procede denegar la suspensión, al tratarse de condena meramente pecuniaria, por lo que debe prevalecer el interés general ínsito en el cumplimiento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petición de suspensión formulada por el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