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junio de 1998 tuvo entrada en el Registro General de este Tribunal escrito de la representación procesal de don Francisco Gabriel Botella, don Eduardo Ferrer Albiach, doña Amparo Algás Algás y don Ángel Redondo Camp, por medio del cual promueven recurso de amparo frente a los Autos de 26 de febrero de 1998 y 29 de mayo de 1998 de la Sala de lo Contencioso-Administrativo del Tribunal Superior de Justicia de Valencia, recaídos en el recurso 2/558/95, por medio de los cual se acordaba tener por cumplida la Sentencia dictada en el referido recurso contencioso-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alegados en la demanda, brevemente expuestos y en lo que resulta relevante para este incidente, son los siguientes: Habiendo obtenido los recurrentes una Sentencia estimatoria, que anulaba la resolución administrativa que convocaba concurso para la provisión. de determinadas plazas en un hospital, al ejecutarla, la Administración se limitó a retrotraer las actuaciones para la realización de una determinada prueba, en lugar de suprimir la resolución en su integridad, convocando nuevamente a los aspirantes el día 23 de junio de 1998. A la misma concurrirá, se dice en la demanda que es anterior a esa fecha, quien ya la obtuvo en virtud del concurso anulado y que desempeña el puesto controvertido, debiendo añadirse, por otra parte, que la plaza que este médico desempeñaba anteriormente ha salido a concurso. Los ahora demandantes de amparo instaron la ejecución de la Sentencia en cuestión, lo que les fue denegado por los Autos impugnados al considerar el Tribunal que la misma había sido ya cumplida.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que se ha producido una vulneración de los derechos fundamentales a acceder a cargos públicos en condiciones de igualdad y a la tutela judicial efectiva (art. 24 C.E.).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resolución administrativa que convocó a los concursantes para la realización de la prueba práctica referida en el anterior Antecedente, ya que la presencia del concursante cuyo nombramiento fue anulado, pero que sigue ocupando la plaza en cuestión, vicia de nulidad su realización. La no concesión de esta suspensión, afirma, haría perder al amparo su finalidad, sin que, por otra parte, perturbe los intereses generales, ya que lo que se pretende es la limpieza del concurso que fue anulado.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junio de 1998, la Sección Segunda de este Tribunal acordó admitir a trámite la demanda de amparo y, a tenor de lo dispuesto en el art. 51 LOTC, requerir a los órganos judiciales que conocieron del asunto para que emplacen a cuantos fueron parte en el proceso judicial antecedente excepto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de la LOTC, conceder un plazo de tres días al Ministerio Fiscal y a los solicitantes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29 de junio de 1998, con entrada en este Tribunal el día 1 de julio de 1998, los demandantes de amparo formularon sus alegaciones, en las que, al haberse ya realizado la prueba cuya suspensión solicitaron, piden ahora que se suspenda la continuación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21 de mayo de 1998, el Fiscal interesó que, de acuerdo con el art. 56 LOTC, se accediese a la suspensión solicitada con la correspondiente caución. Entiende que, al haber. pasado ya la fecha de la prueba cuya suspensión se interesaba, carece de sentido la suspensión de un acto ya realizado.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solicitaron inicialmente la suspensión de una resolución administrativa que convocaba a los aspirantes para celebrar una prueba el día 23 de junio de 1998; al haber pasado ya esa fecha cuando formularon sus alegaciones en esta pieza, pidieron en ese trámite la suspensión de la continuación del concurso. El Ministerio Fiscal interesa que se deniegue la suspensión toda vez que se refiere a un acto ya realizado.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de precisar, por tanto y en primer lugar, cuál es el objeto de la presente pieza, toda vez que, si bien los demandantes lo circunscribieron en su demanda a la suspensión de la convocatoria de una determinada prueba, no cabe duda que, con ello, lo que se pretendía era la paralización del concurso, con lo que resulta que la contradicción entre lo entonces pedido y lo solicitado en el escrito de 29 de junio es más aparente que real, por lo que debemos dar respuesta a la solicitud de suspensión del procedimiento en cuestión.</w:t>
      </w:r>
    </w:p>
    <w:p w:rsidRPr="00C21FFE" w:rsidR="00AD51A7" w:rsidRDefault="008777C4">
      <w:pPr>
        <w:rPr/>
      </w:pPr>
      <w:r w:rsidRPr="&lt;w:rPr xmlns:w=&quot;http://schemas.openxmlformats.org/wordprocessingml/2006/main&quot;&gt;&lt;w:lang w:val=&quot;es-ES_tradnl&quot; /&gt;&lt;/w:rPr&gt;">
        <w:rPr/>
        <w:t xml:space="preserve">Por otra parte, debemos tener en cuenta, en el presente caso, que la pretensión principal del demandante consiste en que se anulen unos Autos que consideran ejecutada una Sentencia y se declare que la misma no está cumplida, lo que habrá de conducir, en su entendimiento, a que se anule el concurso que actualmente sigue su curso y se realice una nueva convocatoria. Desde esta perspectiva no desborda el objeto del presente recurso de amparo la petición formulada en esta pieza, toda vez que está inmediatamente conectada con el derecho fundamental a la ejecución de la Sentencia, que se dice violado y con la posibilidad de que se realice una nueva convocatoria a la que poder concurrir. Se trata, en definitiva, de un modo de ejecución de la Sentencia que considera lesivo de sus derechos fundamentales ex arts. 23.2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el art. 56 LOTC, procede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anterior doctrina debe llevar a denegar la suspensión solicitada toda vez que la continuidad de tal procedimiento no puede hacer perder al amparo su finalidad, ya que las situaciones que se generen podrán ser en todo caso removidas, como de hecho ya ha ocurrido en una ocasión, en la medida en que lo exija la ejecución de la Sentencia, si es que se declarase que los derechos fundamentales invocados amparan las pretensiones de los demandantes en cuanto a que la misma suponga la anulación de todos los trámites del concurso en cuestión y la realización de una nueva convocatoria.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