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11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marzo de 1999, el Procurador de los Tribunales don José Granados Weil, en nombre y representación de doña María del Carmen Castellano Trevilla interpuso recurso de amparo constitucional contra la Sentencia núm. 120/1999, de 19 de febrero de 1999, dictada por la Sala de lo Civil del Tribunal Supremo en el recurso de casación núm. 1.901/95 promovido contra la Sentencia de la Sección Decimocuarta de la Audiencia Provincial de Barcelona, de 3 de mayo de 1995, recaída en un procedimiento de protección del derecho al honor y a la propia imagen dimanante del Juzgado de Primera Instancia núm. 26 de Barcelona que había dictado Sentencia el día 7 de febrero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Sostiene la demandante que un reportaje publicado en el núm. 815 del Semanario "Interviu" correspondiente al día 15 de diciembre de 1991 vulneró su derecho al honor a la intimidad y a la propia imagen, sin que los órganos jurisdiccionales ofreciesen cumplida reparación del mismo toda vez que, la Sentencia dictada por la Sala de lo Civil del Tribunal Supremo declaró haber lugar al recurso de casación promovido contra la Sentencia dictada en apelación, confirmando la dictada por el Juzgado de Primera Instancia núm. 26 de Barcelona que había desestimado la demanda por ella presentada contra los autores del reportaje y el Grupo editor de la referida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28 de junio de 1999, se acordó la admisión a trámite del recurso y, por providencia de esa misma fecha, se ordenó formar la presente pieza separada de suspensión, concediendo a la demandante de amparo y al Ministerio Fiscal (ex art. 56 LOTC)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el día 5 de julio de 1999, la actora presentó sus alegaciones, que se limitan a una única consideración referida a la condena en costas en ambas instancias, lo que a su juicio comportaría un grave desequilibrio económico que puede no ser restituido si finalmente se otorgase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12 de julio de 1999. Tras una sucinta exposición de los hechos, considera que no procede la suspensión de las resoluciones recurridas porque la petición de suspensión no tiene proyección al supuesto concreto, ya que la Sentencia del Tribunal Supremo tiene un carácter negativo al desestimar la demanda inicial del proceso, viniendo el fallo a reconocer indirectamente el derecho a la información de quienes eran demandados. No hay pues ejecución posible de la Sentencia ni, por tanto, perjuicio irreparable para la demandante de amparo. En cuanto al pago de la condena en costas es doctrina del Tribunal Constitucional que no procede su suspensión por tratarse de un perjuicio meramente económico, y cuya restitución o reparación sería posible en caso de una eventual estimación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de oficio o a instancia del recurrente, la ejecución del acto o resolución impugnados "cuando la ejecución hubiere de ocasionar un perjuicio que haría perder al amparo su finalidad", aunque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Reiteradamente ha declarado este Tribunal que, en principio, cuando la suspensión se solicita en relación con la ejecución de resoluciones judiciales firmes y definitivas, el criterio a seguir, por ser más acorde al interés general, es no acceder a la suspensión de su ejecución, porque ésta dota de efectividad a la tutela judicial (art. 24.1 C.E.)  de la parte que obtuvo un pronunciamiento favorable a sus pretensiones (AATC 81/198 1, 186/1998 y 284/1998, entre otros muchos). Sin embargo, esta garantía del interés general, presente en la ejecución de lo juzgado, no debe prevalecer en aquellos supuestos en los que, de no acordarse la suspensión, el amparo perdería toda su finalidad, razón por la que, como criterio general, no procede suspender aquellas resoluciones judiciales que admiten la reparación o la restitución íntegra de lo ejecutado (AATC 17/1980, 257/1986, 249/1989, 141/1990, 212/1994, 35/1996 y 76/1996,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traslación de la anterior doctrina al asunto presente conduce a la denegación de la suspensión solicitada. En efecto, la demandante de amparo únicamente justifica la suspensión de la Sentencia impugnada en los perjuicios que eventualmente pudieran derivarse del pago de las costas procesales devengadas en el proceso civil. Es éste un perjuicio de carácter exclusivamente económico y siempre susceptible de ser reparado en la hipótesis de que la pretensión de amparo llegase a prosperar, por lo que no procede adoptar la medida cautelar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