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24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octubre de 1997 tuvo entrada en el Registro de este Tribunal un escrito de la Sección Cuarta de la Sala de lo Contencioso-Administrativo del Tribunal Superior de Justicia de Cataluña, al que se acompaña, junto al testimonio del correspondiente procedimiento, el Auto de la referida Sala de 10 de febrero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1672/93 planteado por “Barcelona Electrónica, S.A” contra la Resolución de 27 de mayo de 1993 del Tribunal Económico-Administrativo Regional de Cataluña, desestimatoria de la reclamación económico-administrativa instada contra la liquidación de un recargo del 50 por 100 por el ingreso fuera de plazo de la cuota tributaria del Impuesto de Sociedades correspondiente al tercer trimestre del ejercicio 1991, dictada por la Agencia Estatal de Administración Tributaria (Administración de Barcelona).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concluso el procedimiento, la Sala, al amparo del art. 35.2 LOTC, acordó, mediante providencia de 18 de diciembre de 1996,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la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 la actora en el recurso contencioso-administrativo núm. 1672/93 por el ingreso extemporáneo del tercer trimestre de 1991 del Impuesto de Sociedades, dado que si se tratara de una sanción habría que decretar la nulidad de dicha liquidación por su contradicción con los arts. 24 y 25.1, en relación y combinación con el 9.3, todos ellos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 conformidad con el Auto de planteamiento, también violarían los recargos cuestionados los arts. 25.1 y 9.3, ambos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1998, la Sección Primera de este Tribunal acordó admitir a trámite la cuestión registrada con el núm. 4289/97;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 de febrero de 1998, el Abogado del Estado da por reproducidas las alegaciones que en las cuestiones de inconstitucionalidad núms. 662/97 y 1758/97 formuló el 28 de abril de 1997 y el 29 de julio siguiente, dado que el Auto por el que se plantea la presente cuestión de inconstitucionalidad es de la misma Sección e idéntico tenor que aquellos con que fueron promovidas las dos cuestiones mencionadas, suplicando se dicte sentencia desestimatoria de la cuestión promovida. Asimismo, mediante otrosí suplica se acumule la presente cuestión a las núms. 662/97 y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de entrada el día 2 de febrero de 1998, el Presidente del Senado traslada el acuerdo de la Mesa por el que se ruega se tenga por personada a la Cámara y ofrecida su colaboración a los efectos del art. 88.1 LOTC. Asimismo, en escrito presentado el 9 de febrero de 1998, el Presidente del Congreso de los Diputados comunica que, aun cuando la Cámara no se personará en el procedimiento ni formulará alegaciones, pone a disposición del Tribunal las actuaciones de aquélla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de entrada el día 12 de febrero de 1998, en el que interesa que, de conformidad con lo dispuesto en los arts. 86.1 y 80 , ambos LOTC, y 372 LEC, se dicte por este Tribunal Sentencia declarando la incompatibilidad del art. 61.2, inciso primero,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CE. Seguidamente, tras aclarar que el precepto de la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lo expuesto, el Pleno del Tribunal </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4289/97, promovida por la Sección Cuarta de la Sala de lo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