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marzo de 1998 tuvo entrada en el Registro de este Tribunal un escrito de la Sección Cuarta de la Sala de lo Contencioso-Administrativo del Tribunal Superior de Justicia de Cataluña, al que se acompaña, junto al testimonio del correspondiente procedimiento, el Auto de la referida Sala de 6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1628/93 planteado por “Espai Urbá, S.L.” contra la Resolución de 27 de julio de 1993 del Tribunal Económico-Administrativo Regional de Cataluña, desestimatoria de la reclamación económico-administrativa instada contra la liquidación de un recargo del 50 por 100 por el ingreso fuera de plazo del tercer trimestre del IVA del ejercicio 1991, dictada por la Agencia Estatal de Administración Tributaria (Administración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16 de enero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1628/93 por el ingreso extemporáneo del tercer trimestre del IVA correspondiente al ejercicio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la Sección Tercera de este Tribunal acordó admitir a trámite la cuestión registrada con el núm. 1160/98;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de entrada el día 1 de octubre de 1998, el Presidente del Senado traslada el acuerdo de la Mesa por el que se ruega se tenga por personada a la Cámara y ofrecida su colaboración a los efectos del art. 88.1 LOTC. Asimismo, en escrito presentado el 3 de octubre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de entrada el día 5 de octubre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de la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7 de octubre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1160/98,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