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18 de septiembre de 2000 el Procurador de los Tribunales don Eduardo Codes Feijoo, en nombre y representación de don Borja, don Álvaro, don Ignacio y don Juan Manuel Torres García, interpuso recurso de amparo contra la Sentencia dictada por la Sección Segunda de la Audiencia Provincial de Guipúzcoa el 24 de mayo de 2000, que revocó en apelación la dictada por el Juzgado de lo Penal núm. 3 de San Sebastián, en el procedimiento abreviado núm. 274/98, en causa seguida por delito de coacciones. En la demanda de amparo se denuncia la vulneración de los derechos a la tutela judicial efectiva y a la presunción de inocencia (art. 24.1 y 2 CE,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24 de mayo de 2001, acordó, respectivamente, la admisión a trámite de la demanda de amparo y la formación de pieza separada para la tramitación del incidente sobre suspensión de la ejecución, concediendo a la parte recurrente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31 de mayo de 2001 la representación procesal del recurrente remitió sus alegaciones, señalando que, una vez que por el Juzgado de lo Penal núm. 4 de San Sebastián, por Auto de 18 de diciembre de 2000, se procediera a la ejecución, solicita la anulación de las diligencias de ejecución llevadas a cabo hasta el día de la fecha, acordando que procesalmente dicha fase de ejecución no se lleve a inicio en tanto en cuanto el Tribunal Constitucional no resuelva sobre las cuestiones a él sometidas.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evacuó el trámite conferido mediante escrito registrado el 1 de junio de 2001. En él, tras recordar la doctrina de este Tribunal sobre el art. 56 LOTC, estima que la multa impuesta, al tratarse de una pena pecuniaria, admite la restitución íntegra. Sin embargo, para el caso de que la multa no sea satisfecha por el condenado a ella y éste deba cumplir la responsabilidad personal subsidiaria prevista en la Sentencia, parece oportuno aplicar a tal arresto sustitutorio el régimen respecto a las penas privativas de libertad, esto es, la suspensión como regla, que lógicamente admite excepciones (AATC 301/1995, 328/1995, 136/1999, 149/1996, 193/1996, 344/1996, 371/1996, 88/1997). Ahora bien, como señala el ATC 136/1999, tampoco procede, en el momento actual, la suspensión de la responsabilidad personal subsidiaria para el caso de impago de la pena de multa, tal y como prevé el art. 53 del Código Penal, ya que se trata de una eventualidad incierta, que depende de que, efectivamente, la multa no llegue a ser abonada voluntariamente, y, en cualquier caso, de una contingencia futura que, en caso de sobrevenir, podría dar lugar a la modificación de la medida cautelar que en este momento se solicita. </w:t>
      </w:r>
    </w:p>
    <w:p w:rsidRPr="00C21FFE" w:rsidR="00AD51A7" w:rsidRDefault="008777C4">
      <w:pPr>
        <w:rPr/>
      </w:pPr>
      <w:r w:rsidRPr="&lt;w:rPr xmlns:w=&quot;http://schemas.openxmlformats.org/wordprocessingml/2006/main&quot;&gt;&lt;w:lang w:val=&quot;es-ES_tradnl&quot; /&gt;&lt;/w:rPr&gt;">
        <w:rPr/>
        <w:t xml:space="preserve">Por el contrario, dice, cabe aducir, con respecto a la pena de inhabilitación especial, que, como pena limitativa de derechos, y atendida su corta duración en relación con el tiempo habitual empleado en la final resolución de este tipo de procesos, en el supuesto de que se denegara la suspensión podrían originarse perjuicios irreparables a los actores en caso de que fuera otorgado el amparo. Por ello estima que es procedente acceder a la suspensión solicitada respecto de la pena de inhabilitación especial para el derecho de sufragio pasivo, y no respecto de la de multa.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 y 41/2001).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(AATC 573/1985, 574/1985 y 275/1990 por todos). Esta doctrina resulta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Sin embargo, y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otros muchos, AATC 144/1984, 267/1995, 301/1995, 7/1996, 152/1996, 87/1997, 286/1997, 182/1998, 271/1998, 114/2000, 286/2000, 63/2001).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resolución objeto del presente recurso los demandantes de amparo fueron condenados, como autores responsables de un delito de coacciones, a las penas de seis meses de multa, a razón de doscientas pesetas diarias, e inhabilitación especial del derecho de sufragio durante el tiempo de la condena, así como al pago de las costas, incluyendo las de la acusación particular en ambas instancias.</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procede, en primer término, la suspensión de la ejecución de la pena de derecho de sufragio. La aplicación al caso de la doctrina reseñada anteriormente obliga a considerar, si se compara la duración de la pena privativa de derechos impuesta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se aprecia que, acceder a la suspensión solicitada, no ocasionaría una lesión específica y grave del interés general, como no sea la no ejecución de un fallo judicial (AATC 163/1996, 348/1996, 419/1997, 48/1998, 79/1998 y 262/1998, entre otros muchos). Pues es evidente la parcial pérdida de la finalidad del amparo que inevitablemente conlleva el cumplimiento de la pena mientras dura la tramitación del presente proceso (AATC 88/1981, 486/1983, 476/1984, 53/1992, 196/1995, 214/1995, 312/1995, 121/1996, 226/1996, 228/1996, 310/1996, 394/1996, 47/1998, 48/1998 y 208/1998).</w:t>
      </w:r>
    </w:p>
    <w:p w:rsidRPr="00C21FFE" w:rsidR="00AD51A7" w:rsidRDefault="008777C4">
      <w:pPr>
        <w:rPr/>
      </w:pPr>
      <w:r w:rsidRPr="&lt;w:rPr xmlns:w=&quot;http://schemas.openxmlformats.org/wordprocessingml/2006/main&quot;&gt;&lt;w:lang w:val=&quot;es-ES_tradnl&quot; /&gt;&lt;/w:rPr&gt;">
        <w:rPr/>
        <w:t xml:space="preserve">Y, en segundo término, no procede la suspensión de la Sentencia en lo atinente a los pronunciamientos de carácter patrimonial (multa y costas procesales), ya que ningún perjuicio irreparable ocasionaría su ejecución al ser posible su íntegra restitución en caso de estimarse el amparo (AATC 152/1996, 91/1997, 273/1998, 193/2000 y 204/2000). Por el contrario, en cuanto al arresto sustitutorio caso de impago de la multa, si bien se trata de una eventualidad futura (ATC 107/1998), razones de economía procesal nos han llevado en ocasiones precedentes a acordar su suspensión junto con la de la condena de privación de libertad (AATC 319/1985, 88/1987, 182/1998 y 273/1998, entre otros); criterio que resulta procedente seguir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 la pena de privación del derecho de sufragio impuesta a los recurrentes por la Sentencia dictada por la Sección Segunda de la Audiencia Provincial de Guipúzcoa el 24 de mayo de</w:t>
      </w:r>
    </w:p>
    <w:p w:rsidRPr="" w:rsidR="00AD51A7" w:rsidRDefault="008777C4">
      <w:pPr>
        <w:rPr/>
      </w:pPr>
      <w:r w:rsidRPr="&lt;w:rPr xmlns:w=&quot;http://schemas.openxmlformats.org/wordprocessingml/2006/main&quot;&gt;&lt;w:szCs w:val=&quot;24&quot; /&gt;&lt;/w:rPr&gt;">
        <w:rPr/>
        <w:t xml:space="preserve">2000 (rollo de apelación núm. 2071/99).</w:t>
      </w:r>
    </w:p>
    <w:p w:rsidRPr="" w:rsidR="00AD51A7" w:rsidRDefault="008777C4">
      <w:pPr>
        <w:rPr/>
      </w:pPr>
      <w:r w:rsidRPr="&lt;w:rPr xmlns:w=&quot;http://schemas.openxmlformats.org/wordprocessingml/2006/main&quot;&gt;&lt;w:szCs w:val=&quot;24&quot; /&gt;&lt;/w:rPr&gt;">
        <w:rPr/>
        <w:t xml:space="preserve">2° Suspender la ejecución de la responsabilidad personal subsidiaria para el caso de que la pena de multa sea impagada.</w:t>
      </w:r>
    </w:p>
    <w:p w:rsidRPr="" w:rsidR="00AD51A7" w:rsidRDefault="008777C4">
      <w:pPr>
        <w:rPr/>
      </w:pPr>
      <w:r w:rsidRPr="&lt;w:rPr xmlns:w=&quot;http://schemas.openxmlformats.org/wordprocessingml/2006/main&quot;&gt;&lt;w:szCs w:val=&quot;24&quot; /&gt;&lt;/w:rPr&gt;">
        <w:rPr/>
        <w:t xml:space="preserve">3° Denegar la suspensión de la ejecución en lo que respecta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