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octubre de 2000, don Arlindo Luis Carbalho Cordero interesó el nombramiento de Abogado y Procurador del turno de oficio a fin de promover recurso de amparo contra el acuerdo sancionador de 25 de noviembre de 1999, de la Comisión Disciplinaria del Centro Penitenciario Madrid II, y las posteriores resoluciones judiciales que ratificaron parcialmente la sanción impuesta, fijándola en la de tres días de aislamiento en celda. Hechas las oportunas designaciones, el pasado 5 de enero de 2001, el Procurador don Roberto Alonso Verdú, en representación del demandante, y bajo la dirección del Letrado don Francisco S. Fernández Álvarez, formuló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vulnerado su derecho a utilizar los medios de prueba pertinentes para su defensa (Art. 24.2 CE), lesión en la que habría incurrido la Comisión Disciplinaria del Centro Penitenciario al no admitir, o no pronunciarse sobre diversos elementos de prueba propuestos por el interno en el expediente disciplinario en el que recayó la sanción que ahora cuestiona. Por medio de otrosí solicitó en la demanda de amparo la suspensión del acuerdo sancionador por entender que, de llevarse a efecto el mismo, quedaría sin efecto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octubre de 2001 la Sala acordó la admisión a trámite de la demanda de amparo y acordó formar pieza separada de suspensión con el testimonio de la providencia de admisión y de la demanda de amparo, concediendo, de conformidad con lo prevenido en el artículo 56 LOTC, al Ministerio Fiscal, al Abogado del Estado y al solicitante del amparo el plazo común de tres días para que alegasen lo que estimaran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25 de octubre de 2001 el Abogado del Estado se opuso a la suspensión de la sanción, señalando que, dado el tiempo transcurrido desde su imposición, la suspensión de la ejecución de la sanción sólo produciría complicaciones prácticas, dado que es previsible que la misma se haya ya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30 de octubre de 2001 el Ministerio Fiscal interesó la suspensión de la sanción si la misma no hubiera sido ya ejecutada, y aun para tal caso consideró oportuno que, mientras se resuelve el recurso de amparo, se decrete la suspensión de la anotación de la sanción en el expediente del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29 de octubre de 2001 la representación procesal del recurrente interesó la suspensión de la sanción disciplinaria impuesta por entender que, analizada la naturaleza de la sanción y el tiempo que requiere la resolución del recurso de amparo, de no procederse a ella se causaría un perjuicio de imposible reparación, sin que quepa apreciar que, en este caso, la suspensión entrañaría lesión o perjuicio a terceros o al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21 de enero de 2002 se acordó dirigir comunicación al Centro Penitenciario a fin de que informara a este Tribunal si la sanción impuesta había sido o no cumplida. La solicitud ha sido contestada por el Director del Centro, el pasado 25 de enero, indicando que la misma fue ejecutada en el mes de abril de 2000, y quedó cancelada el pasado 5 de julio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cuando dicha ejecución, caso de llevarse a cabo, "hubiere de causar un perjuicio que haría perder al amparo su finalidad", si bien el segundo inciso de dicho precepto consagra un límite a esa excepción al disponer, no obstante, que la suspensión podrá denegarse cuando de ella pueda seguirse "perturbación grave de los intereses generales o de los derechos fundamentales o libertades públicas de un tercero". Se establece así una regla general y una excepción, siendo ésta última la posibilidad de suspensión</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general debe ser la de no proceder a la suspensión de tales resoluciones judiciales,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como consta en la comunicación a que se hace referencia en el antecedente séptimo de esta resolución, el recurrente cumplió en el mes de abril de 2000 la sanción de aislamiento que le fue impuesta, incluso antes de que la demanda de amparo fuera presentada en este Tribunal, lo que, en principio, podría llevarnos a considerar la inutilidad de la suspensión pretendida, pues, si atendiéramos exclusivamente a los efectos propios de la sanción disciplinaria cuestionada, ésta, no solamente ha sido cumplida, sino que incluso ha sido ya cancelada de conformidad con lo dispuesto en el artículo 260 del Reglamento Penitenciario (Real Decreto 190/1996, de 9 de febrero).</w:t>
      </w:r>
    </w:p>
    <w:p w:rsidRPr="00C21FFE" w:rsidR="00AD51A7" w:rsidRDefault="008777C4">
      <w:pPr>
        <w:rPr/>
      </w:pPr>
      <w:r w:rsidRPr="&lt;w:rPr xmlns:w=&quot;http://schemas.openxmlformats.org/wordprocessingml/2006/main&quot;&gt;&lt;w:lang w:val=&quot;es-ES_tradnl&quot; /&gt;&lt;/w:rPr&gt;">
        <w:rPr/>
        <w:t xml:space="preserve">Sin embargo, a pesar de tales circunstancias, tal y como hemos señalado en los AATC 58/1996, de 11 de marzo y 186/2001, de 21 de julio, es preciso determinar si la no suspensión de la resolución puede generar otros efectos, de forma que, "de un lado la suspensión, en cuanto medida cautelar, mantenga su sentido y, de otro, su concesión no sea contraria al interés general o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Pues bien, tal como se resolvió en las citadas resoluciones, en la medida en que, a pesar del cumplimiento efectivo de la sanción, ésta puede tener efectos negativos en la concesión de beneficios penitenciarios al recurrente (arts.  202, 204, 205 y 206 Reglamento Penitenciario de 1996), y dado que se trata de efectos que por su naturaleza pueden favorecer al reo sin que, en principio, pueda colegirse un inmediato perjuicio del interés general o de los derechos fundamentales o libertades públicas de terceros, resulta pertinente la suspensión solicitada, si bien limitando la suspensión a los efectos que pudieran derivarse de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parcialmente la solicitud formulada y suspender los efectos que pudieran derivarse de la sanción disciplinaria de tres días de aislamiento en celda que fue impuesta al recurrente por acuerdo sancionador, de 25 de noviembre de 1999, de la Comisión</w:t>
      </w:r>
    </w:p>
    <w:p w:rsidRPr="" w:rsidR="00AD51A7" w:rsidRDefault="008777C4">
      <w:pPr>
        <w:rPr/>
      </w:pPr>
      <w:r w:rsidRPr="&lt;w:rPr xmlns:w=&quot;http://schemas.openxmlformats.org/wordprocessingml/2006/main&quot;&gt;&lt;w:szCs w:val=&quot;24&quot; /&gt;&lt;/w:rPr&gt;">
        <w:rPr/>
        <w:t xml:space="preserve">Disciplinaria del Centro Penitenciario Madrid II, en el expediente disciplinario 543-2/99.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