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21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marzo de 1999, la Letrada de la Junta de Extremadura, en la representación que legalmente ostenta, promovió recurso de inconstitucionalidad frente a los arts. 82 a 87 de la Ley 49/1998, de 30 de diciembre, de Presupuestos Generales del Estado para el año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fue admitido a trámite mediante providencia de la Sección Primera de fecha 13 de abril de 1999. Dicha providencia también acordó dar traslado de la demanda y documentos presentados al Congreso de los Diputados, al Senado y al Gobierno, a fin de que pudieran personarse en el procedimiento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compareció el Abogado del Estado, en representación del Gobierno, solicitando que en su día el Tribunal dicte Sentencia por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Congreso de los Diputados, comunicó al Tribunal que no se personaría ni formularía alegaciones, mientras que el Senado se dio por personado pero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febrero de 2002, el Letrado de la Junta de Extremadura comunicó al Tribunal que, siguiendo instrucciones del Consejo de Gobierno de la Junta de Extremadura, conforme a su Acuerdo adoptado en sesión de 19 de febrero de 2002, que adjunta, desiste del recurso de inconstitucionalidad planteado frente a la Ley 49/1998, de 30 de diciembre, de Presupuestos Generales del Estado para el año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26 de febrero de 2002, la Sección Segunda acordó tener por recibido el escrito presentado por el Letrado de la Junta de Extremadura el día 25 de febrero de 2002 y dar traslado del mismo al Abogado del Estado para que alegue lo que estime oportuno acerca de la solicitud de desistimiento formulada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día 12 de marzo de 2002, comunicó al Tribunal que no se opone a la solicitud de desistimiento presentada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procesal del recurrente, debidamente autorizada, según certificaciones de los acuerdos adoptados al efecto por el Consejo de Gobierno de la Junta de Extremadura, pide que se le tenga por desistido del recurso interpuesto y el Abogado del Estado no plantea objeción alguna al desistimiento formalizado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Consejo de Gobierno de la Junta de Extremadura en el recurso de inconstitucionalidad núm. 1296-1999 promovido por el mismo contra los arts. 82 a 87 de la Ley 49/1998, de 30 de diciembre, de Presupuestos Generales del Estado para el</w:t>
      </w:r>
    </w:p>
    <w:p w:rsidRPr="" w:rsidR="00AD51A7" w:rsidRDefault="008777C4">
      <w:pPr>
        <w:rPr/>
      </w:pPr>
      <w:r w:rsidRPr="&lt;w:rPr xmlns:w=&quot;http://schemas.openxmlformats.org/wordprocessingml/2006/main&quot;&gt;&lt;w:szCs w:val=&quot;24&quot; /&gt;&lt;/w:rPr&gt;">
        <w:rPr/>
        <w:t xml:space="preserve">año 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