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30 de septiembre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8 de enero de 2002, el Procurador de los Tribunales don Ramón Rodríguez Nogueira, en nombre y representación de don Alfredo de la Cuadra López Trigo, interpuso recurso de amparo contra la Sentencia de la Audiencia Provincial de Valencia de 5 de diciembre de 2001 por la que se desestima el recurso de apelación interpuesto frente a la Sentencia de 16 de mayo de 2001 del Juzgado de Primera Instancia núm. 11 de Valencia por la que se le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de la Cuadra López Trigo, Tesorero de Administración Local, en reclamación de 182.500 pesetas, importe al que ascendían las cuotas impagadas al mismo. </w:t>
      </w:r>
    </w:p>
    <w:p w:rsidRPr="00C21FFE" w:rsidR="00AD51A7" w:rsidRDefault="008777C4">
      <w:pPr>
        <w:rPr/>
      </w:pPr>
      <w:r w:rsidRPr="&lt;w:rPr xmlns:w=&quot;http://schemas.openxmlformats.org/wordprocessingml/2006/main&quot;&gt;&lt;w:lang w:val=&quot;es-ES_tradnl&quot; /&gt;&lt;/w:rPr&gt;">
        <w:rPr/>
        <w:t xml:space="preserve">b) El Sr. de la Cuadra López Trigo se opuso a la demanda alegando las excepciones de incompetencia de jurisdicción, de omisión de la vía de apremio administrativa regulada en el art. 58.4 del Reglamento del Colegio aprobado por Resolución de 2 de febrero de 1978 y de falta de legitimidad constitucional de la obligatoriedad de la pertenencia al Colegio, las cuales fueron desestimadas en Sentencia dictada el 16 de mayo de 2001 por el Juzgado de Primera Instancia núm. 11 de Valencia, condenando al pago de la cantidad reclamada. </w:t>
      </w:r>
    </w:p>
    <w:p w:rsidRPr="00C21FFE" w:rsidR="00AD51A7" w:rsidRDefault="008777C4">
      <w:pPr>
        <w:rPr/>
      </w:pPr>
      <w:r w:rsidRPr="&lt;w:rPr xmlns:w=&quot;http://schemas.openxmlformats.org/wordprocessingml/2006/main&quot;&gt;&lt;w:lang w:val=&quot;es-ES_tradnl&quot; /&gt;&lt;/w:rPr&gt;">
        <w:rPr/>
        <w:t xml:space="preserve">c) Planteado recurso de apelación por el Sr. de la Cuadra López Trigo contra la referida Sentencia, el mismo fue desestimado en la dictada el 5 de diciembre de 2001 por la Sección Segunda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ampararse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alugares del territorio español, como en Aragón o en Canarias, en donde su legislación autonómica (art. 18 de la Ley 12/1998, de 22 de diciembre, de Medidas Tributarias, Financieras y Administrativas de la Presidencia de la Diputación General de Aragón y art. 9.3 de la Ley 10/1990, sobre Colegios Profesionales de la Comunidad de Canarias) establece que los profesionales titulados que estén vinculados a las Administraciones Públicas no precisarán colegiarse para el ejercicio de tales profesiones al servicio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23 y 25 de junio de 2002 la Sala Segunda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5 de julio de 2002 tuvo entrada en el registro de este Tribunal el escrito de alegaciones del demandante de amparo. En él señaló el recurrente que la ejecución de la Sentencia mediante el pago de la cantidad dineraria implica per se una vulneración de los derechos fundamentales a la libertad de asociación y a la igualdad y no discriminación cuyo amparo se solicita y haría irreparable la lesión que dicha vulneración produce. Por otra parte entiende que no existe perturbación grave a los intereses generales o de terceros que pueda prevalecer sobre el perjuicio irreparable a sus derechos fundamentales que implicaría el pago de las cuotas colegiales. Alega en apoyo de sus argumentaciones Sentencias de 31 de enero de 2002 de la Sala de lo Contencioso-Administrativo del Tribunal Superior de Justicia de la Comunidad Valenciana y de 23 de octubre de 2001 y 7 de mayo de 2002 de las Secciones Cuarta y Sexta de la Audiencia Provincial de Valencia, respectivamente, en las que se reconoce la falta de obligatoriedad de la colegiación de los Secretarios, Interventores y Tesoreros de Administración local con habilitación de carácter nacional. Suplica por ello al Tribunal Constitucional que acuerde la suspensión de los efectos ejecutivos de la Sentencia de 5 de diciembre de 2001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21 de junio de 2002 presentó su escrito de alegaciones el Ministerio Fiscal. En él manifiesta que la suma a la que se condena, de carácter exiguo, no parece que pueda provocar un perjuicio irreparable para la persona que haya de satisfacerla. De otro lado, aquel pago no quiere decir, en absoluto, que ello suponga una negación de las peticiones de fondo del recurso, ya que no hay que confundir suspensión y resolución final. Por todo ello el Fiscal interesa que se deniegue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así como del interés particular del demandante de amparo que alega a su vez la lesión de un derecho fundamental.  En tal aspecto es el potencial perjudicado quien ha de justificar el eventual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resulte otorgado, impida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conllevaría el nacimiento de un derecho del hoy demandante a que no le sean cobradas las cuotas que reclama el Colegio de Secretarios, Interventores y Tesoreros de Administración Local de habilitación nacional de la provincia de Valencia. Lo que se pretende con la suspensión que solicita el recurrente de la ejecución de la Sentencia que lo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239/1990, 6/1996, 61/1997, 89/1997, 109/1997 y 13/1999), sacrificando el interés del recurrente, porque éste sería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