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 de abril de 2002, el Procurador de los Tribunales don José Ignacio de Noriega Arquer, en nombre y representación de don Leandro Alba Busto, interpone recurso de amparo contra la Sentencia dictada por la Sección Segunda de la Audiencia Provincial de Oviedo el 4 de marzo de 2002, que revocó en apelación (rollo núm. 32-2002) la dictada por el Juzgado de Instrucción núm. 5 de Avilés, en el juicio de faltas núm. 554-2001, en causa seguida por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16 de diciembre de 2002, la Sección Primera acordó, respectivamente, admitir a trámite la demanda de amparo y la apertura de pieza separada para la tramitación del incidente sobre suspensión de la ejecución, concediendo al demandante de amparo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evacuó el trámite conferido mediante escrito registrado el 19 de diciembre de 2002. En dicho escrito, de conformidad con la doctrina constitucional aplicable, interesó la suspensión de la pena de arresto de tres fines de semana, oponiéndose a la suspensión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no presentó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de 15 de julio; 36/1983, de 26 de enero; 182/1998, de 14 de septiembre; 186/1998, de 14 de septiembre,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de 25 de mayo; 284/1995, de 23 de octubre; 219/1996, de 22 de julio; 419/1997, de 22 de diciembre; 274/1998, de 14 de diciembre; 117/1999, de 29 de abril; 227/1999, de 27 de septiembre; 292/2000, de 11 de diciembre; 41/2001 de 26 de febrero y 155/2002 de 162.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resolución objeto del presente recurso el demandante de amparo fue condenado finalmente, como autor responsable de una falta de lesiones del art. 617 del Código penal, a la pena de tres fines de semana de arresto y al pago de una indemnización de 200 € a la denunciante, imponiéndosele igualmente la prohibición de aproximarse a ella durante seis meses y al abono de las costas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advertir que es evidente la parcial pérdida de la finalidad del amparo que inevitablemente conlleva el cumplimiento de la pena mientras dura la tramitación del presente proceso (AATC 88/1981, de 4 de agosto; 486/1983, de 19 de octubre; 476/1984, de 26 de julio; 53/1992, de 19 de febrero; 196/1995, de 3 de julio; 214/1995, de 17 de julio; 312/1995, de 20 de noviembre; 121/1996, de 20 de mayo; 226/1996, de 22 de julio; 228/1996, de 22 de julio; 310/1996, de 28 de octubre; 394/1996, 47/1998, de 24 de febrero 48/1998, de 24 de febrero y 208/1998, de 5 de octubre). Por otro lado debe negarse la suspensión "cuando de ésta pueda seguirse perturbación ... de los derechos fundamentales o libertades públicas de un tercero" (inciso último del art. 56.1 LOTC). Esto nos lleva a denegar la suspensión de las penas de arresto de tres fines de semana y la de aproximarse a la víctima durante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como señala el Fiscal, la imposición en la Sentencia de la pena de alejamiento de la víctima tiene por objeto proteger la integridad física de aquélla -que constituye, asimismo, un derecho fundamental- frente a eventuales nuevos ataques, y que la restricción de la libertad deambulatoria del actor a dicha pena es mínima.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Téngase en cuenta que la jurisprudencia de este Tribunal pone de relieve que en las condenas penales nuestro enjuiciamiento también ha considerado otras circunstancias relevantes, como son las relativas a la gravedad y naturaleza de los hechos enjuiciados y el bien jurídico protegido, su trascendencia social, la duración de la pena impuesta, el tiempo que reste de cumplimiento de la misma y la posible desprotección de las víctimas (AATC 88/1981, 210/1983, 486/1983, 476/1984, 418/1985, 522/1985, y, entre los más recientes 53/1992, 152/1995, 196/1995, 121/1996, 163/1996, 226/1996, 310/1996, 349/1996, 419/1997, 420/1997, 79/1998, 85/2001 y 99/2002), para denegar, en su caso, la suspensión. Además, la suspensión de la ejecución de la Sentencia entraña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(AATC 275/1986 y 274/2002,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no procede la suspensión de la Sentencia en lo atinente a los pronunciamientos de carácter patrimonial (indemnizaciones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ni la indemnización impuesta (200 €) es de extraordinaria cuantía, ni se ha acreditado la irreparabilidad del perjuicio derivado de la ejecución por la concurrencia de circunstancias especiales. El recurrente no aporta prueba alguna sobre dificultades económicas para hacer frente al pago de la cantidad en cuestión y, como reiteradamente hemos sostenido, la acreditación del perjuicio es carga del recurrente, quien debe además probar, o al menos justificar ofreciendo un principio razonable de prueba, la irreparabilidad del perjuicio (por todos, AATC 253/1995, 72/1997, 93/2002 y 165/2002).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Sección Segunda de la Audiencia Provincial de Oviedo de 4 de marzo de 2002, dictada en la apelación núm. 32-2002.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