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30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13 de junio de 2001, don Pedro Antonio González Sánchez, Procurador de los Tribunales, en nombre de don Francisco Cachón Ruiz y don Juan Antonio García Gómez, interpuso recurso de amparo contra la Sentencia de la Sala de lo Penal del Tribunal Supremo, de 21 de mayo de 2001, que desestima el recurso de casación interpuesto contra la de la Audiencia Provincial de Málaga, Sección Segunda, de 17 de mayo de 1999, sobre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sa) Los recurrentes fueron condenados por Sentencia de la Audiencia Provincial de Málaga, Sección Segunda, de 17 de mayo de 1999, como autores de un delito contra la salud pública relativo a sustancia que no causa grave daño para la salud (hachís) y en cuantía de notoria importancia (más de 1.500 Kg.), con la agravante de reincidencia, a la pena de cuatro años y cuatro meses de prisión y multa de seiscientos millones de pesetas, así como al abono de la parte proporcional de las costas.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casación, desestimado por Sentencia de la Sala de lo Penal del Tribunal Supremo, de 11 de abril de 2001. Esta Sentencia rechaza tanto la existencia de vulneración del art. 18.3 CE como consecuencia de las escuchas telefónicas practicadas en el procedimiento (por considerar que los Autos que las acuerdan están suficientemente motivados, al existir indicios de la participación de los recurrentes en un delito de tráfico de drogas, indicios "que no precisan de seguridad y detalle, pues, si se supieran, no haría falta ya la investigación", pero que eran "más que meras sospechas o conjeturas"; que la necesidad y proporcionalidad de la medida están fuera de duda "porque el sigilo con que operaban no dejaba otra alternativa de investigación, ni la gravedad de los hechos de que había indicios.. puede oponerse a la derogación en este caso del derecho al secreto de las comunicaciones", destacando que el resultado de las intervenciones no fue utilizado como prueba), como del art. 18.2 CE en relación con el 24.2 y 53.1 CE (por entender que la presencia en el registro de los recurrentes no era necesaria al no ser los titulares del domicilio, y porque un automóvil no es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 los recurrentes al secreto de las comunicaciones (art. 18.3 CE), a la tutela judicial efectiva (art. 24.1 CE), ), a un proceso con todas las garantías (art. 24.2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el demandante solicita se deje en suspenso la ejecución de la Sentencia,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marzo de 2003, la Sección Segunda de este Tribunal acordó la admisión a trámite de la demanda así como, a tenor de lo establecido en el art. 51 LOTC, requerir atentamente a la Sección Segunda de la Audiencia Provincial de Málaga para que emplazase a quienes fueron parte en el procedimiento, a excepción del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25 de marzo de 2003, realizaron sus alegaciones los demandantes de amparo, quienes reiteran la solicitud de suspensión de la ejecución, porque de ejecutarse la Sentencia se irrogaría un perjuicio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27 de marzo de 2003 tuvo entrada en este Tribunal el escrito de alegaciones del Ministerio Fiscal. En dicho escrito, tras analizar la doctrina de este Tribunal en materia de suspensión, se considera no procedente acceder a la suspensión solicitada, ni en lo relativo a las costas y a la multa (al tratarse de pronunciamientos de carácter económico y, en consecuencia, fácilmente reparables), ni en lo relativo a la pena privativa de libertad (ante la gravedad de los hechos enjuiciados, y las circunstancias concurrentes en los mismos), interesando que se dé tramitación preferente al presente recurso, para no hacer perder al amparo su finalidad en caso de un eventual otorgamiento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debe conducir a la denegación de la suspensión solicitada.</w:t>
      </w:r>
    </w:p>
    <w:p w:rsidRPr="00C21FFE" w:rsidR="00AD51A7" w:rsidRDefault="008777C4">
      <w:pPr>
        <w:rPr/>
      </w:pPr>
      <w:r w:rsidRPr="&lt;w:rPr xmlns:w=&quot;http://schemas.openxmlformats.org/wordprocessingml/2006/main&quot;&gt;&lt;w:lang w:val=&quot;es-ES_tradnl&quot; /&gt;&lt;/w:rPr&gt;">
        <w:rPr/>
        <w:t xml:space="preserve">Por lo que se refiere a los pronunciamientos de contenido patrimonial - multa y costas procesales- porque, de conformidad con el criterio de este Tribunal, al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pese a la elevada cuantía de la multa impuesta, no se ha acreditado la irreparabilidad del perjuicio derivado de la ejecución por la concurrencia de circunstancias especiales, carga que corresponde al recurrente (por todos, AATC 253/1995, 72/1997, 93/2002).</w:t>
      </w:r>
    </w:p>
    <w:p w:rsidRPr="00C21FFE" w:rsidR="00AD51A7" w:rsidRDefault="008777C4">
      <w:pPr>
        <w:rPr/>
      </w:pPr>
      <w:r w:rsidRPr="&lt;w:rPr xmlns:w=&quot;http://schemas.openxmlformats.org/wordprocessingml/2006/main&quot;&gt;&lt;w:lang w:val=&quot;es-ES_tradnl&quot; /&gt;&lt;/w:rPr&gt;">
        <w:rPr/>
        <w:t xml:space="preserve">En cuanto a la pena privativa de libertad, la ponderación de intereses que hemos de llevar a cabo nos obliga a considerar, entre otros factores, la gravedad y trascendencia social del delito (tráfico de drogas en cantidad de notoria importancia), y la gravedad de la pena impuesta (superior a cuatro años), factores que, como argumenta el Ministerio Fiscal, determinan la existencia de un especial interés en la ejecución de las Sentencias condenatorias, que debe considerarse preponderante frente al eventual perjuicio causado a los recurrentes, cuya irreparabilidad, caso de un eventual otorgamiento del amparo, puede atemperarse otorgando al recurso una tramitación preferente.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