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48</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 de febrero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14 de mayo de 2003, el Procurador de los Tribunales don Norberto Pablo Jerez Fernández, interpuso, en nombre de don Oscar Brañas Estévez, recurso de amparo contra la Sentencia de la Sala de lo Penal del Tribunal Supremo de 6 de noviembre de 2002 y contra el Auto de la misma de 25 de marzo de 2003 que desestimó la nulidad de actuaciones instada contra la anterior. La Sentencia de la Sala de lo Penal del Tribunal Supremo de 6 de noviembre de 2002 anuló la Sentencia del Tribunal Superior de Justicia de Cataluña de 26 de julio de 2001 y declaró la “efectividad, ejecutividad y firmeza” de la Sentencia de 27 de abril de 2001 de la Audiencia Provincial de Barcelona dictada en procedimiento ante Tribunal de Jurado 41-2000, en virtud de la cual el recurrente resultó condenado como autor de un delito de asesinato a la pena de diecisiete años de prisión, inhabilitación absoluta por el tiempo de la condena y al pago de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alega la vulneración de los derechos a la tutela judicial efectiva sin indefensión, a la doble instancia, al proceso con todas las garantías, a la defensa (art. 24.1 y 2 CE) y a la presunción de inocencia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noviembre de 2004, la Sección Primera de este Tribunal acordó admitir a trámite la demanda de amparo, y, de conformidad con lo previsto en el art. 56 LOTC, abrir pieza separada de suspensión y conceder un plazo común de tres días, al Ministerio Fiscal y al demandante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en este Tribunal el 29 de noviembre de 2004, el Ministerio Fiscal interesa la denegación de la suspensión solicitada de la pena privativa de libertad, atendida la gravedad de los hechos por los que fue condenado, y de la que es fiel reflejo la extensión de la pena impuesta, por lo que no rige el criterio del interés general en la ejecución de sentencias firmes. En consecuencia, tampoco procede la suspensión de la pena de inhabilitación absoluta, que sigue la suerte de la principal, ni tampoco de las costas procesales, dado su carácter pecuniario, fácilmente 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1 de diciembre de 2004, el Procurador de los Tribunales don Norberto Pablo Jerez Fernández, en nombre de don Oscar Brañas Estévez reiteró que la ejecución de la condena a pena privativa de libertad le ocasionaría un perjuicio irreparable por cuanto la pérdida de libertad personal no puede restituirse, mientras que la suspensión de la misma no supone una perturbación grave de los intereses generales ni crea alarma social, ni existen motivos que hagan suponer que se sustraerá a la acción de la Justicia.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en la Ley Orgánica del Tribunal Constitucional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En el caso, se ha de examinar la petición de suspensión en relación con la pena privativa de libertad impuesta, la inhabilitación absoluta y las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los pronunciamientos de carácter patrimonial, este Tribunal tiene declarado que la ejecución de las Sentencias cuyos efectos son fundamentalmente patrimoniales o de contenido económico ni causan un perjuicio irreparable al obligado al pago por la Sentencia condenatoria, ni el eventual amparo estimado puede perder su finalidad. Pues, en atención al contenido económico del fallo, es legalmente posible, si se otorgara posteriormente el amparo, que el recurrente obtenga la devolución de lo pagado en ejecución de la Sentencia (AATC 573/1985, 574/1985 y 275/1990, 117/1999, por todos). Esta doctrina es igualmente aplicable a la condena en costas procesales, pues al entrañar un pago en dinero, su ejecución no provoca ningún perjuicio que pueda hacer inútil el recurso de amparo (AATC 244/1991 y 2092/1992, 267/1995, 117/1999, entre otros muchos).</w:t>
      </w:r>
    </w:p>
    <w:p w:rsidRPr="00C21FFE" w:rsidR="00AD51A7" w:rsidRDefault="008777C4">
      <w:pPr>
        <w:rPr/>
      </w:pPr>
      <w:r w:rsidRPr="&lt;w:rPr xmlns:w=&quot;http://schemas.openxmlformats.org/wordprocessingml/2006/main&quot;&gt;&lt;w:lang w:val=&quot;es-ES_tradnl&quot; /&gt;&lt;/w:rPr&gt;">
        <w:rPr/>
        <w:t xml:space="preserve">Por consiguiente, en atención al carácter excepcional de la suspensión (art. 56 LOTC), ha de denegarse la suspensión de las resoluciones impugnadas en relación con la condena en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suspensión de las penas privativas de libertad este Tribunal tiene establecido (entre muchos, AATC 270/2002, 140/2004) como criterio general la procedencia de la suspensión en cuanto afecta a bienes o derechos del recurrente en amparo de imposible o muy difícil restitución a su estado anterior. Este criterio, no obstante, no es absoluto, pues la doctrina que hemos elaborado señala que en estos últimos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420/1997; 49/1998; 114/2000; 146/2001; y 22/2002).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w:t>
      </w:r>
    </w:p>
    <w:p w:rsidRPr="00C21FFE" w:rsidR="00AD51A7" w:rsidRDefault="008777C4">
      <w:pPr>
        <w:rPr/>
      </w:pPr>
      <w:r w:rsidRPr="&lt;w:rPr xmlns:w=&quot;http://schemas.openxmlformats.org/wordprocessingml/2006/main&quot;&gt;&lt;w:lang w:val=&quot;es-ES_tradnl&quot; /&gt;&lt;/w:rPr&gt;">
        <w:rPr/>
        <w:t xml:space="preserve">En aplicación de dichos criterios, como recordábamos recientemente (ATC 140/2004) "en relación con las resoluciones judiciales que condenan a penas privativas de libertad, la suspensión de su ejecución no se sustenta exclusivamente en el criterio de la duración de la pena impuesta, sino que éste se pondera, ciertamente de forma prioritaria, teniendo en cuenta otros. Así, con carácter general este Tribunal no suspende las resoluciones judiciales en lo que afecta a condenas a penas privativas de libertad superiores a cinco años, pero incluso en este caso excepcionalmente se ha acordado la suspensión en los siguientes casos: condenas de seis años (AATC 1260/1988; y 202/1997) u ocho años (ATC 125/1995) en atención al criterio genérico de la pérdida de la finalidad del amparo; condenas a seis años (ATC 253/1997) y doce años por delito de violación (ATC 112/1998), porque el recurrente estaba en libertad, no habiéndose considerado necesario el ingreso”.</w:t>
      </w:r>
    </w:p>
    <w:p w:rsidRPr="00C21FFE" w:rsidR="00AD51A7" w:rsidRDefault="008777C4">
      <w:pPr>
        <w:rPr/>
      </w:pPr>
      <w:r w:rsidRPr="&lt;w:rPr xmlns:w=&quot;http://schemas.openxmlformats.org/wordprocessingml/2006/main&quot;&gt;&lt;w:lang w:val=&quot;es-ES_tradnl&quot; /&gt;&lt;/w:rPr&gt;">
        <w:rPr/>
        <w:t xml:space="preserve">En el caso, como señala el Ministerio Fiscal, en ausencia de otros datos, la magnitud de la pena impuesta –diecisiete años de prisión- es significativa de la gravedad del hecho y de la reprobación que el ordenamiento asigna al mismo, y, por consiguiente, de la magnitud del interés general en la ejecución de la resolución. De otra parte, dada la previsible duración de este proceso de amparo y teniendo en cuenta la pena que le resta por cumplir no es previsible que el amparo pierda su finalidad.</w:t>
      </w:r>
    </w:p>
    <w:p w:rsidRPr="00C21FFE" w:rsidR="00AD51A7" w:rsidRDefault="008777C4">
      <w:pPr>
        <w:rPr/>
      </w:pPr>
      <w:r w:rsidRPr="&lt;w:rPr xmlns:w=&quot;http://schemas.openxmlformats.org/wordprocessingml/2006/main&quot;&gt;&lt;w:lang w:val=&quot;es-ES_tradnl&quot; /&gt;&lt;/w:rPr&gt;">
        <w:rPr/>
        <w:t xml:space="preserve">Igual suerte ha de correr la pena de inhabilitación absoluta impuesta, pues, de conformidad con la jurisprudencia constitucional, las penas accesorias siguen la suerte de la principal (entre muchos, AATC 144/1984, 267/1995, 22/2002, 140/2004).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las resoluciones recurridas en el presente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febrero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