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157</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18 de abril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15 de marzo de 2005, don Carlos Martín Aznar, Procurador de los Tribunales, en nombre y representación de don Rubén Martínez Álvarez, interpuso recurso de amparo contra el Auto del Pleno de la Sala de lo Penal de la Audiencia Nacional, de 28 de enero de 2005 , que resuelve el recurso de súplica contra el Auto de la Sección Tercera de dicha Sala, de 13 de octubre de 2004, dictado en el procedimiento de extradición núm. 20-2002 del Juzgado Central de Instrucción núm. 3, incoado por una demanda de extradición anterior presentada por las mismas Autoridades respecto del mismo ciudadano.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en síntesis, de los siguientes hechos: </w:t>
      </w:r>
    </w:p>
    <w:p w:rsidRPr="00C21FFE" w:rsidR="00AD51A7" w:rsidRDefault="008777C4">
      <w:pPr>
        <w:rPr/>
      </w:pPr>
      <w:r w:rsidRPr="&lt;w:rPr xmlns:w=&quot;http://schemas.openxmlformats.org/wordprocessingml/2006/main&quot;&gt;&lt;w:lang w:val=&quot;es-ES_tradnl&quot; /&gt;&lt;/w:rPr&gt;">
        <w:rPr/>
        <w:t xml:space="preserve">a) Mediante Nota Verbal núm. 301/NV, de 29 de enero de 2004, las Autoridades francesas, de conformidad con el Convenio Europeo de Extradición de 13 de diciembre de 1957, interesaron la ampliación de la extradición del demandante de amparo, para la ejecución de una condena de 12 años de prisión expedida por fallo en rebeldía del Tribunal de lo Criminal de París de 17 de noviembre de 2000. </w:t>
      </w:r>
    </w:p>
    <w:p w:rsidRPr="00C21FFE" w:rsidR="00AD51A7" w:rsidRDefault="008777C4">
      <w:pPr>
        <w:rPr/>
      </w:pPr>
      <w:r w:rsidRPr="&lt;w:rPr xmlns:w=&quot;http://schemas.openxmlformats.org/wordprocessingml/2006/main&quot;&gt;&lt;w:lang w:val=&quot;es-ES_tradnl&quot; /&gt;&lt;/w:rPr&gt;">
        <w:rPr/>
        <w:t xml:space="preserve">b) La Sección Tercera de la Sala de lo Penal de la Audiencia Nacional, por Auto de 13 de octubre de 2004 en el rollo de Sala 46-2004, accedió a la ampliación de la extradición solicitada por la República de Francia, considerando que no existía impedimento legal ni convencional alguno para acceder a tal petición. En concreto, frente a las alegaciones del demandante y del Ministerio Fiscal relativas a la inexistencia de reciprocidad, afirma que las modificaciones legislativas producidas en ese país a fin de adecuar su Ordenamiento jurídico a la normativa comunitaria relativa a la Euro-Orden, han dejado sin vigencia la reserva que en su momento hizo al Convenio Europeo de Extradición respecto de la entrega de sus nacionales. </w:t>
      </w:r>
    </w:p>
    <w:p w:rsidRPr="00C21FFE" w:rsidR="00AD51A7" w:rsidRDefault="008777C4">
      <w:pPr>
        <w:rPr/>
      </w:pPr>
      <w:r w:rsidRPr="&lt;w:rPr xmlns:w=&quot;http://schemas.openxmlformats.org/wordprocessingml/2006/main&quot;&gt;&lt;w:lang w:val=&quot;es-ES_tradnl&quot; /&gt;&lt;/w:rPr&gt;">
        <w:rPr/>
        <w:t xml:space="preserve">c) Interpuesto recurso de súplica contra la citada resolución, el Pleno de la Sala de lo Penal de la Audiencia Nacional lo desestimó en Auto de 28 de enero de 2005, confirmándolo en su integridad. </w:t>
      </w:r>
    </w:p>
    <w:p w:rsidRPr="00C21FFE" w:rsidR="00AD51A7" w:rsidRDefault="008777C4">
      <w:pPr>
        <w:rPr/>
      </w:pPr>
      <w:r w:rsidRPr="&lt;w:rPr xmlns:w=&quot;http://schemas.openxmlformats.org/wordprocessingml/2006/main&quot;&gt;&lt;w:lang w:val=&quot;es-ES_tradnl&quot; /&gt;&lt;/w:rPr&gt;">
        <w:rPr/>
        <w:t xml:space="preserve">2. La demanda de amparo se fundamenta en los siguientes motivos. En primer lugar, se invoca el artículo 24.1 CE por vulneración de la tutela judicial efectiva, así como el derecho de defensa, si bien de la fundamentación del motivo se infiere que éste se sustancia en la vulneración del derecho a un proceso con todas las garantías del 24.2 CE, en la que la Audiencia Nacional habría incurrido al conceder la extradición en virtud de la aplicación de una Ley que no ha sido publicada oficialmente en España. Dicha Ley consiste en la modificación de la legislación francesa sobre extradición, que ha supuesto la retirada de la reserva efectuada por el Estado francés al artículo 6 del Convenio Europeo de Extradición por la que Francia no entregaba a nacionales franceses. Sólo con dicha modificación se satisface la garantía de la reciprocidad, pero, afirma el demandante invocando la STC 141/1998, de 29 de junio de 1998, al no estar publicada oficialmente en el BOE la retirada de reserva, no forma parte del Ordenamiento jurídico español, por lo que la extradición vulnera la garantía fundamental de que ésta sólo pueda ser concedida en virtud de un tratado o de la ley, atendiendo al principio de reciprocidad. En segundo lugar, se considera vulnerado el principio de legalidad del art. 25.1 CE por entender que esa modificación legal no podría en cualquier caso aplicarse a hechos anteriores a su entrada en vigor, como son aquéllos en los que se basa la solicitud de extradición, en cuanto atenta contra el principio de irretroactividad de leyes penales. </w:t>
      </w:r>
    </w:p>
    <w:p w:rsidRPr="00C21FFE" w:rsidR="00AD51A7" w:rsidRDefault="008777C4">
      <w:pPr>
        <w:rPr/>
      </w:pPr>
      <w:r w:rsidRPr="&lt;w:rPr xmlns:w=&quot;http://schemas.openxmlformats.org/wordprocessingml/2006/main&quot;&gt;&lt;w:lang w:val=&quot;es-ES_tradnl&quot; /&gt;&lt;/w:rPr&gt;">
        <w:rPr/>
        <w:t xml:space="preserve">En consecuencia, solicita se decrete la nulidad de los citados Autos. Asimismo, de acuerdo con lo dispuesto en el art. 56.1 LOTC, se interesa la suspensión de la ejecución de las resoluciones judiciales impugnadas, alegando que de tal ejecución se derivaría un perjuicio que haría perder su finalidad al amparo, y que su suspensión no ocasionaría perturbación grave de los intereses generales. </w:t>
      </w:r>
    </w:p>
    <w:p w:rsidRPr="00C21FFE" w:rsidR="00AD51A7" w:rsidRDefault="008777C4">
      <w:pPr>
        <w:rPr/>
      </w:pPr>
      <w:r w:rsidRPr="&lt;w:rPr xmlns:w=&quot;http://schemas.openxmlformats.org/wordprocessingml/2006/main&quot;&gt;&lt;w:lang w:val=&quot;es-ES_tradnl&quot; /&gt;&lt;/w:rPr&gt;">
        <w:rPr/>
        <w:t xml:space="preserve">4. La Sala Segunda de este Tribunal, por providencia de 4 de abril de 2005, acordó admitir a trámite la demanda de amparo y, en aplicación de lo dispuesto en el art. 51 LOTC, dirigir sendas comunicaciones a la Sala de lo Penal de la Audiencia Nacional y a su Sección Primera, al objeto de que, en plazo que no excediera de diez días, remitiesen, respectivamente, certificación o fotocopia adverada de las actuaciones correspondientes al recurso de súplica núm. 147-2004, al expediente de extradición núm. 20-2002 del Juzgado Central de Instrucción núm. 3 y al rollo de Sala núm. 46-2004. </w:t>
      </w:r>
    </w:p>
    <w:p w:rsidRPr="00C21FFE" w:rsidR="00AD51A7" w:rsidRDefault="008777C4">
      <w:pPr>
        <w:rPr/>
      </w:pPr>
      <w:r w:rsidRPr="&lt;w:rPr xmlns:w=&quot;http://schemas.openxmlformats.org/wordprocessingml/2006/main&quot;&gt;&lt;w:lang w:val=&quot;es-ES_tradnl&quot; /&gt;&lt;/w:rPr&gt;">
        <w:rPr/>
        <w:t xml:space="preserve">5. La Sala Segunda del Tribunal Constitucional por providencia de la misma fecha acordó formar la oportuna pieza para la tramitación del incidente de suspensión y, de conformidad con lo dispuesto en el art. 56 LOTC, otorgar un plazo común de tres días al demandante de amparo y al Ministerio Fiscal para que formulasen las alegaciones que tuvieran por conveniente sobre la suspensión interesada. </w:t>
      </w:r>
    </w:p>
    <w:p w:rsidRPr="00C21FFE" w:rsidR="00AD51A7" w:rsidRDefault="008777C4">
      <w:pPr>
        <w:rPr/>
      </w:pPr>
      <w:r w:rsidRPr="&lt;w:rPr xmlns:w=&quot;http://schemas.openxmlformats.org/wordprocessingml/2006/main&quot;&gt;&lt;w:lang w:val=&quot;es-ES_tradnl&quot; /&gt;&lt;/w:rPr&gt;">
        <w:rPr/>
        <w:t xml:space="preserve">6. La representación procesal del demandante de amparo evacuó el trámite de alegaciones conferido mediante escrito presentado en el Registro General de este Tribunal el día 11 de abril de 2005, en el que manifiesta que de no accederse a la suspensión solicitada la hipotética concesión del amparo resultaría ilusoria, sin que, por el contrario, implique su suspensión perturbación grave de los intereses generales (por tratarse de una situación individualizada), ni perturbación grave de derechos fundamentales de terceros. Concluye su escrito solicitando se acuerde la suspensión interesada. </w:t>
      </w:r>
    </w:p>
    <w:p w:rsidRPr="00C21FFE" w:rsidR="00AD51A7" w:rsidRDefault="008777C4">
      <w:pPr>
        <w:rPr/>
      </w:pPr>
      <w:r w:rsidRPr="&lt;w:rPr xmlns:w=&quot;http://schemas.openxmlformats.org/wordprocessingml/2006/main&quot;&gt;&lt;w:lang w:val=&quot;es-ES_tradnl&quot; /&gt;&lt;/w:rPr&gt;">
        <w:rPr/>
        <w:t xml:space="preserve">7. El Ministerio Fiscal evacuó el trámite de alegaciones conferido mediante escrito presentado en el Registro General de este Tribunal el día 13 de abril de 2005, considerando procedente la suspensión de la ejecución de los Autos recurridos, en aplicación de la reiterada doctrina constitucional recogida, entre otros, en los AATC 210/1997, 149/2000 o 78/2001, por entender que la ejecución de las resoluciones impugnadas convertiría en ilusoria una eventual concesión del amparo, no apreciándose en este caso una perturbación grave de intereses generales ni de derechos fundamentales de terceros.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prevé que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recogiéndose, en el segundo inciso de dicho precepto, un límite a esa facultad, pues cabrá denegar la suspensión cuando de ella pueda seguirse “perturbación grave de los intereses generales o de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nuestra doctrina la regla general debe ser la improcedencia de la suspensión, que se configura así como una medida provisional de carácter excepcional y de aplicación restrictiva (por todos, AATC 292/2000, de 11 de diciembre; 2/2001, de 15 de enero; 45/2001 de 26 de febrero; 64/2001, de 26 de marzo). De modo tal que la adopción de esta medida cautelar resulta pertinente únicamente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 éstos o parecidos términos, AATC 616/1989, de 19 de diciembre; 161/1999, de 14 de junio; 243/2000, de 16 de octubre; 251/2000, de 30 de octubre y 63/2001, de 26 de marzo)" [ATC 103/2001, de 3 de mayo, FJ 1; en sentido similar, ATC 58/2002, de 8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al caso de la doctrina reseñada obliga a considerar, como hemos venido haciendo en situaciones análogas (AATC 210/1997, de 12 de junio; 149/2000, de 12 de junio; 78/2001, de 2 de abril; 2/2002, de 14 de enero; 80/2004, de 11 de marzo), que en los supuestos de extradición la ejecución de las resoluciones impugnadas puede convertir en ilusoria la eventual concesión del amparo, toda vez que si la persona requerida fuera entregada a las autoridades del Estado requirente podría perder el amparo su finalidad, pues, en definitiva, su objeto es cuestionar la decisión de acceder a la extradición. En efecto —tal y como hemos declarado— una vez que el recurrente se encuentre bajo la potestad de otro Estado, sería muy difícil que un eventual pronunciamiento estimatorio de este Tribunal por el que se anularan los Autos que acceden a la extradición pudiera tener plena eficacia en este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en este caso no se aprecia que la suspensión cautelar pueda originar una perturbación grave de los intereses generales ni de los derechos fundamentales o libertades públicas de un tercero. Como también hemos mantenido anteriormente (AATC 2/2002, de 14 de enero, y 80/2004, de 11 de marzo) que, si bien es cierto que existen intereses generales que aconsejan tanto el cumplimiento de las resoluciones judiciales como el de los tratados Internacionales, dichos intereses no quedarán afectos por la suspensión provisional de unos Autos cuya ejecución inmediata provocaría consecuencias irreversibles.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conformidad con la doctrina expuesta, procede acordar la suspensión cautelar de las citadas resoluciones judiciales, que se circunscriben única y exclusivamente a la declaración de procedencia de la extradición, pues es claro que su ejecución, que conlleva la entrega a las Autoridades del Estado requirente, podría convertir en ilusoria una eventual concesión del amparo, sin que se aprecie que la suspensión pueda originar una perturbación grave de los intereses generales ni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suspensión cautelar, por el contrario, no se extiende a las resoluciones judiciales relativas a la situación personal del recurrente, sin perjuicio de que el Tribunal competente mantenga o adopte las medidas cautelares oportunas para que el recurrente permanezca a disposición de la Justicia.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 Suspender la ejecución del Auto del Pleno de la Sala de lo Penal de la Audiencia Nacional de 28 de enero de 2005 y del Auto de la Sección Primera de dicha Sala de 13 de octubre de 2004 (rollo de la Sala núm. 46-2004), por los que se declaró procedente</w:t>
      </w:r>
    </w:p>
    <w:p w:rsidRPr="" w:rsidR="00AD51A7" w:rsidRDefault="008777C4">
      <w:pPr>
        <w:rPr/>
      </w:pPr>
      <w:r w:rsidRPr="&lt;w:rPr xmlns:w=&quot;http://schemas.openxmlformats.org/wordprocessingml/2006/main&quot;&gt;&lt;w:szCs w:val=&quot;24&quot; /&gt;&lt;/w:rPr&gt;">
        <w:rPr/>
        <w:t xml:space="preserve">la extradición a la República de Francia del demandante de amparo en el expediente de extradición núm. 20-2002, sin que la suspensión alcance a las medidas cautelares relativas a la situación personal del recurrente, cuya adopción o mantenimiento</w:t>
      </w:r>
    </w:p>
    <w:p w:rsidRPr="" w:rsidR="00AD51A7" w:rsidRDefault="008777C4">
      <w:pPr>
        <w:rPr/>
      </w:pPr>
      <w:r w:rsidRPr="&lt;w:rPr xmlns:w=&quot;http://schemas.openxmlformats.org/wordprocessingml/2006/main&quot;&gt;&lt;w:szCs w:val=&quot;24&quot; /&gt;&lt;/w:rPr&gt;">
        <w:rPr/>
        <w:t xml:space="preserve">corresponde adoptar a la Audiencia Nacional.</w:t>
      </w:r>
    </w:p>
    <w:p w:rsidRPr="" w:rsidR="00AD51A7" w:rsidRDefault="008777C4">
      <w:pPr>
        <w:rPr/>
      </w:pPr>
      <w:r w:rsidRPr="&lt;w:rPr xmlns:w=&quot;http://schemas.openxmlformats.org/wordprocessingml/2006/main&quot;&gt;&lt;w:szCs w:val=&quot;24&quot; /&gt;&lt;/w:rPr&gt;">
        <w:rPr/>
        <w:t xml:space="preserve">2° Comunicar urgentemente el presente Auto al Gobierno de la Nación, por conducto del Ministerio de Justicia, así como al Pleno de la Sala de lo Penal de la Audiencia Nacional.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abril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