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noviembre de 2004 tuvo entrada en el Registro General de este Tribunal Constitucional un escrito de la Sección Séptima de la Sala de lo Contencioso-Administrativo de la Audiencia Nacional, al que se acompaña, junto al testimonio del correspondiente procedimiento, el Auto de la referida Sala de 18 de febrero de 2004, mediante el que se acuerda elevar a este Tribunal cuestión de inconstitucionalidad respecto del apartado 2.2.4 del art. 66 Ley 13/2000, de 28 de diciembre, de presupuestos generales del Estado para el año 2001, dado que pudiera ser contrario a los arts. 9.3, 31.3 y 38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Por Acuerdo del Consejo de Ministros de fecha 7 de octubre de 1999 se convocó y se aprobó el pliego de cláusulas administrativas particulares y de prescripciones técnicas para la adjudicación de tres licencias individuales, tipo C2, para el establecimiento y explotación de redes públicas fijas de acceso a radio en la banda de 26 Ghz. Dicho concurso fue resuelto por Acuerdo del Consejo de Ministros de 8 de marzo de 2000, formalizándose el contrato administrativo de concesión para la explotación del servicio público el día 18 de abril de 2000, en cuyo Anexo I (punto 2) se concreta el número de unidades de reserva radioeléctrica (URRs) que corresponden a la concesión (56.670.880.000). </w:t>
      </w:r>
    </w:p>
    <w:p w:rsidRPr="00C21FFE" w:rsidR="00AD51A7" w:rsidRDefault="008777C4">
      <w:pPr>
        <w:rPr/>
      </w:pPr>
      <w:r w:rsidRPr="&lt;w:rPr xmlns:w=&quot;http://schemas.openxmlformats.org/wordprocessingml/2006/main&quot;&gt;&lt;w:lang w:val=&quot;es-ES_tradnl&quot; /&gt;&lt;/w:rPr&gt;">
        <w:rPr/>
        <w:t xml:space="preserve">b) Con fecha de 29 de marzo de 2001 la Secretaría de Estado de Telecomunicaciones y para la Sociedad de la Información giró a la entidad mercantil “SKY POINT, S.A.” una liquidación en concepto de tasa de reserva del dominio público radioeléctrico (núm. MZZ-0020011) correspondiente al período 01-01-2001 a 31-12-2001, sobre una base de 56.670.880.000 URRs (cantidad de dominio público reservado) y un valor de la URR de 0,282061395 con un importe total de 1.598.466.747 pesetas (9.606.978,63 €). Liquidación que fue recurrida ante el Tribunal Económico-Administrativo Regional (RG 3484/01; RS 354/01), quien por Resolución con fecha de 16-11-2001 desestimó la reclamación.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ante la Sala de lo Contencioso-Administrativo de la Audiencia Nacional (núm. 1.828-2001), quien tras declarar los autos conclusos y previa audiencia a las partes y al Ministerio Fiscal acordó dictar el oportuno Auto promoviendo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18 de febrero de 2004 la Sección Séptima de la Sala de lo Contencioso-Administrativo de la Audiencia Nacional acordó elevar a este Tribunal cuestión de inconstitucionalidad en relación con “el apartado 2.2.4 del art. 66 Ley 13/2000, de 28 de diciembre, de presupuestos generales del Estado para el año 2001, por posible vulneración de los arts. 9.3º, 31.3º y 38 de la Constitución Española”. En la fundamentación jurídica del Auto se razona, en esencia, en los siguientes términos. Se destaca por el órgano judicial, en primer lugar, que el incremento aplicado sobre la tasa correspondiente al ejercicio 2001 y la justificación que se hace del mismo “plantea a esta Sala dudas fundadas sobre la constitucionalidad del art. 66 Ley 13/2000, de 28 de diciembre de presupuestos generales del Estado para el año 2001, y en concreto, su colisión con los principios consagrados en los arts. 9.3º y 31.1º en relación con el art. 38 CE, por cuanto el nuevo valor asignado a los coeficientes C1 a C5, a efectos de determinar el valor de la URR, ha sido realizado mediante procedimientos que adolecen de cierta arbitrariedad y carentes de justificación objetiva, lo que ha determinado un resultado —cuantía de la tasa desproporcionada— en atención a la finalidad de la tasa y que podría producir efectos contrarios a los pretendidos por ésta, afectando asimismo al adecuado desarrollo de la libertad de empresa”. </w:t>
      </w:r>
    </w:p>
    <w:p w:rsidRPr="00C21FFE" w:rsidR="00AD51A7" w:rsidRDefault="008777C4">
      <w:pPr>
        <w:rPr/>
      </w:pPr>
      <w:r w:rsidRPr="&lt;w:rPr xmlns:w=&quot;http://schemas.openxmlformats.org/wordprocessingml/2006/main&quot;&gt;&lt;w:lang w:val=&quot;es-ES_tradnl&quot; /&gt;&lt;/w:rPr&gt;">
        <w:rPr/>
        <w:t xml:space="preserve">Dicho lo que antecede, la primera vulneración que imputa el órgano judicial a la disposición cuestionada es la del principio de interdicción de la arbitrariedad recogido en el art. 9.3 CE. Según el órgano judicial, la memoria justificativa de la modificación de la tasa basa la nueva valoración en la “importantísima revalorización que han experimentado en Europa las bandas de frecuencia reservadas al servicio de telefonía móvil, puestas de manifiesto en los procesos de licitación recientes para la obtención de licencias UMTS, fundamentalmente en Reino unido y Alemania”. Tal apreciación, sin embargo, se contradice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cómo “[d]esde el verano de 2000 ha disminuido en Europa el interés suscitado por las licencias de sistemas de tercera generación, como consecuencia de la revaluación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 </w:t>
      </w:r>
    </w:p>
    <w:p w:rsidRPr="00C21FFE" w:rsidR="00AD51A7" w:rsidRDefault="008777C4">
      <w:pPr>
        <w:rPr/>
      </w:pPr>
      <w:r w:rsidRPr="&lt;w:rPr xmlns:w=&quot;http://schemas.openxmlformats.org/wordprocessingml/2006/main&quot;&gt;&lt;w:lang w:val=&quot;es-ES_tradnl&quot; /&gt;&lt;/w:rPr&gt;">
        <w:rPr/>
        <w:t xml:space="preserve">De lo anterior deduce el órgano judicial que las subastas realizadas en Reino Unido y Alemania, lejos de implicar una revalorización del espectro radioeléctrico, han determinado una disminución del mismo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Esa arbitrariedad en el incremento del valor de la URR para el año 2001, se corrobora, asimismo,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 </w:t>
      </w:r>
    </w:p>
    <w:p w:rsidRPr="00C21FFE" w:rsidR="00AD51A7" w:rsidRDefault="008777C4">
      <w:pPr>
        <w:rPr/>
      </w:pPr>
      <w:r w:rsidRPr="&lt;w:rPr xmlns:w=&quot;http://schemas.openxmlformats.org/wordprocessingml/2006/main&quot;&gt;&lt;w:lang w:val=&quot;es-ES_tradnl&quot; /&gt;&lt;/w:rPr&gt;">
        <w:rPr/>
        <w:t xml:space="preserve">La segunda lesión que atribuye el órgano judicial al precepto cuestionado es la del deber de contribuir mediante un sistema tributario justo, recogido en el art. 31.1 CE. En efecto, a su juicio, ese mismo incremento podría ser desproporcionado en atención a la finalidad de la tasa, determinando un resultado contrario a ésta. Así, si el objetivo de la tasa es garantizar el uso óptimo del espectro radioeléctrico —según se desprende de la Directiva 97/13/CE (art. 11.2)—,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 </w:t>
      </w:r>
    </w:p>
    <w:p w:rsidRPr="00C21FFE" w:rsidR="00AD51A7" w:rsidRDefault="008777C4">
      <w:pPr>
        <w:rPr/>
      </w:pPr>
      <w:r w:rsidRPr="&lt;w:rPr xmlns:w=&quot;http://schemas.openxmlformats.org/wordprocessingml/2006/main&quot;&gt;&lt;w:lang w:val=&quot;es-ES_tradnl&quot; /&gt;&lt;/w:rPr&gt;">
        <w:rPr/>
        <w:t xml:space="preserve">Finalmente, plantea también el órgano judicial que aquella desproporción en la cuantía de la tasa aplicada durante el ejercicio 2001 podría incidir en la libertad de empresa del art. 38 CE, entendida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pues,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En el mismo sentido,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 y que “[e]l retraso de UMTS y los costes de las subastas y tasas radioeléctricas complican la situación económica de los operadores móviles, que sin embargo, para el año 2002, se han beneficiado de una reducción de la tasa radioeléctrica”.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13 de diciembre de 2005, a los efectos que determina el art. 37.1 LOTC, acordó oír al Fiscal General del Estado para que, en el plazo de diez días,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23 de diciembre de 2005 el Fiscal General del Estado presentó su escrito de alegaciones en el que, tras exponer brevemente los antecedentes de la cuestión pone de manifiesto que el objeto de la presente cuestión de inconstitucionalidad es idéntico al de otras muchas planteadas por el mismo órgano judicial respecto del mismo artículo, aunque referidos a apartados distintos, que han sido inadmitidas a trámite por carecer notoriamente de fundamento, en los términos que esta expresión ha sido entendida por este Tribunal (AATC 207/2005, 222/2005 y sucesivos), por lo que tratándose de una cuestión ya resuelta, interesa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Séptima de la Sala de lo Contencioso-Administrativo de la Audiencia Nacional una cuestión de inconstitucionalidad en relación con el apartado 2.2.4 del art. 66 Ley 13/2000, de 28 de</w:t>
      </w:r>
    </w:p>
    <w:p w:rsidRPr="00C21FFE" w:rsidR="00AD51A7" w:rsidRDefault="008777C4">
      <w:pPr>
        <w:rPr/>
      </w:pPr>
      <w:r w:rsidRPr="&lt;w:rPr xmlns:w=&quot;http://schemas.openxmlformats.org/wordprocessingml/2006/main&quot;&gt;&lt;w:lang w:val=&quot;es-ES_tradnl&quot; /&gt;&lt;/w:rPr&gt;">
        <w:rPr/>
        <w:t xml:space="preserve">diciembre, de presupuestos generales del Estado para el año 2001, por si pudiera ser contrario a los arts. 9.3, 31.1 y 38 CE.</w:t>
      </w:r>
    </w:p>
    <w:p w:rsidRPr="00C21FFE" w:rsidR="00AD51A7" w:rsidRDefault="008777C4">
      <w:pPr>
        <w:rPr/>
      </w:pPr>
      <w:r w:rsidRPr="&lt;w:rPr xmlns:w=&quot;http://schemas.openxmlformats.org/wordprocessingml/2006/main&quot;&gt;&lt;w:lang w:val=&quot;es-ES_tradnl&quot; /&gt;&lt;/w:rPr&gt;">
        <w:rPr/>
        <w:t xml:space="preserve">Como correctamente apunta el Fiscal General del Estado, las dudas planteadas por el órgano judicial en la presente cuestión de inconstitucionalidad respecto del apartado 2.2.4 del art. 66 Ley 13/2000, ya han sido resueltas en los AATC 207/2005, de 10 de mayo, y 222/2005, de 24 de mayo, dictados como consecuencia de las cuestiones de inconstitucionalidad núms. 2369-2004 y 2677-2004 planteadas por el mismo órgano judicial, en los que este Tribunal ha considerado que las citadas cuestiones se encontraban notoriamente infundadas, en los términos que esta expresión ha sido entendida por este Tribunal (entre muchos,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En efecto, con relación a la posible contradicción entre la norma cuestionada y el principio de interdicción de la arbitrariedad del art. 9.3 CE, por el hecho de haberse variado la cuantía de la tasa de reserva del dominio público radioeléctrico, apuntábamos que la norma cuestionada “podrá ser criticable desde un punto de vista técnico o económico, pero en modo alguno merece reproche desde el punto de vista constitucional, en su contraste con el principio de interdicción de la arbitrariedad (art.  9.3 CE), pues, ni la media adoptada establece una discriminación arbitraria ni tampoco carece de una finalidad razonable” (ATC 207/2005, FJ 5). En este sentido, ni los coeficientes cuestionados establecen una discriminación entre sujetos o categorías de sujetos ni la nueva cuantía que se les asigna carece de una finalidad razonable, al perseguir ajustar el coste de la tasa al valor real de mercado del uso de un bien escaso.</w:t>
      </w:r>
    </w:p>
    <w:p w:rsidRPr="00C21FFE" w:rsidR="00AD51A7" w:rsidRDefault="008777C4">
      <w:pPr>
        <w:rPr/>
      </w:pPr>
      <w:r w:rsidRPr="&lt;w:rPr xmlns:w=&quot;http://schemas.openxmlformats.org/wordprocessingml/2006/main&quot;&gt;&lt;w:lang w:val=&quot;es-ES_tradnl&quot; /&gt;&lt;/w:rPr&gt;">
        <w:rPr/>
        <w:t xml:space="preserve">También rechazábamos que aquel incremento en la cuantía de la tasa fuese contrario al deber de contribuir a los gastos mediante un sistema tributario justo (art. 31.1 CE), dado que, “si la cuantía de la tasa es fruto de la concesión administrativa y tiende a compensar a la sociedad por el uso privativo que del dominio público hace una entidad privada con ánimo de lucro, no cabe duda que desde el plano de la estricta constitucionalidad ningún reproche se le puede hacer, al haberse calculado de forma proporcional al beneficio potencial que previsiblemente podía reportar al titular de la concesión” (ATC 207/2005, FJ 6).</w:t>
      </w:r>
    </w:p>
    <w:p w:rsidRPr="00C21FFE" w:rsidR="00AD51A7" w:rsidRDefault="008777C4">
      <w:pPr>
        <w:rPr/>
      </w:pPr>
      <w:r w:rsidRPr="&lt;w:rPr xmlns:w=&quot;http://schemas.openxmlformats.org/wordprocessingml/2006/main&quot;&gt;&lt;w:lang w:val=&quot;es-ES_tradnl&quot; /&gt;&lt;/w:rPr&gt;">
        <w:rPr/>
        <w:t xml:space="preserve">Finalmente, concluíamos que la pretendida desproporción en la cuantía de la tasa aplicada durante el ejercicio 2001 tampoco incidía en la libertad de empresa del art. 38 CE, porque nos encontramos ante una medida que no sólo “no es excluyente del acceso al mercado ni obstaculizadora del ejercicio libre de la actividad”, sino que es fruto de una concesión administrativa para el uso privativo del dominio público que es, precisamente, “la que permite a la entidad concesionaria el ejercicio de una actividad económica de carácter lucrativo” (ATC 207/2005,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6951-2004 planteada por la Sección Séptima de la Sala de lo Contencioso-Administrativo de la Audiencia Nacional en el recurso núm. 1828-2001.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