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24 de marzo de 2004, mediante el que se acuerda plantear cuestión de inconstitucionalidad respecto de los apartados 3.2.1 y 3.2.2 del art. 66 de la Ley 13/2000, de 28 de diciembre, de presupuestos generales del Estado para el año 2001, dado que pudieran ser contrarios a los arts. 9.3, 31.3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Órdenes del Ministerio de Fomento de 7 de octubre de 1999 se convocó concurso y se aprobó el pliego de cláusulas administrativas particulares y de prescripciones técnicas para la adjudicación de tres licencias individuales, tipo C2, para el establecimiento y explotación de redes públicas fijas de acceso a radio en la banda de 26 Ghz. Dicho concurso fue resuelto por Orden del Ministerio de Fomento de 8 de marzo de 2000, formalizándose el contrato administrativo de concesión para la explotación del servicio público el día 16 de abril de 2000, en cuyo Anexo I (punto 4) se concreta el número de unidades de reserva radioeléctrica (URRs) que corresponden a la concesión. Este número ascendía a la cifra de 56.670.880.000 </w:t>
      </w:r>
    </w:p>
    <w:p w:rsidRPr="00C21FFE" w:rsidR="00AD51A7" w:rsidRDefault="008777C4">
      <w:pPr>
        <w:rPr/>
      </w:pPr>
      <w:r w:rsidRPr="&lt;w:rPr xmlns:w=&quot;http://schemas.openxmlformats.org/wordprocessingml/2006/main&quot;&gt;&lt;w:lang w:val=&quot;es-ES_tradnl&quot; /&gt;&lt;/w:rPr&gt;">
        <w:rPr/>
        <w:t xml:space="preserve">b) Con fecha de 29 de marzo de 2001 la Secretaría de Estado de Telecomunicaciones y para la Sociedad de la Información giró a la entidad mercantil “BANDA 26, S.A.” una liquidación en concepto de tasa de reserva del dominio público radioeléctrico (núm. MZZ-0020012) correspondiente al período 01-01-2001 a 31-12-2001, sobre una base de 56.670.880.000 URRs (cantidad de dominio público reservado) y un valor de la URR de 0,282061395, con un importe total de 1.598.466.747 ptas (9.606.978,63 €). Liquidación que fue recurrida ante el Tribunal Económico-Administrativo Central (RG 3302/01; RS 350/01), quien por resolución con fecha de 16 de noviembre de 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31-2002), quien tras declarar los autos conclusos y oír a las partes y al Ministerio Fiscal, acordó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24 de marzo de 2004 la Sección Séptima de la Sala de lo Contencioso-Administrativo de la Audiencia Nacional acordó elevar a este Tribunal cuestión de inconstitucionalidad en relación con “el apartado 3.2.1 y 3.2.2 del art. 66 Ley 13/2000, de 28 de diciembre, de presupuestos generales del Estado para el año 2001, por posible vulneración de los arts. 9.3, 31.3 y 38 de la Constitución”.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artículos 9.3 y 31.1 en relación con el artículo 38 CE, por cuanto el nuevo valor asignado a los coeficientes C4 y C5, a efectos de determinar el valor de la URR, ha sido realizado mediante procedimientos que adolecen de cierta arbitrariedad y carentes de justificación objetiva, lo que ha determinado un resultado –cuantía de la tasa– desproporcionado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en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ésta.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13 de diciembre de 2005, a los efectos que determina el art. 37.1 LOTC,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diciembre de 2005 el Fiscal General del Estado presentó su escrito de alegaciones en el que, tras exponer brevemente los antecedentes de la cuestión pone de manifiesto que su objeto es idéntico al de otras muchas planteadas por el mismo órgano judicial respecto del mismo artículo, aunque referidos a apartados distintos, que han sido inadmitidas a trámite por carecer notoriamente de fundamento, en los términos que esta expresión ha sido entendida por este Tribunal (AATC 207/2005, 222/2005 y posteriores),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los apartados 3.2.1 y 3.2.2 del art. 66 Ley 13/2000,</w:t>
      </w:r>
    </w:p>
    <w:p w:rsidRPr="00C21FFE" w:rsidR="00AD51A7" w:rsidRDefault="008777C4">
      <w:pPr>
        <w:rPr/>
      </w:pPr>
      <w:r w:rsidRPr="&lt;w:rPr xmlns:w=&quot;http://schemas.openxmlformats.org/wordprocessingml/2006/main&quot;&gt;&lt;w:lang w:val=&quot;es-ES_tradnl&quot; /&gt;&lt;/w:rPr&gt;">
        <w:rPr/>
        <w:t xml:space="preserve">de 28 de diciembre, de presupuestos generales del Estado para el año 2001,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Como con acierto señala el Fiscal General del Estado, las dudas suscitadas por el órgano judicial ya han sido resueltas en los AATC 207/2005, de 10 de mayo (cuestión núm. 2369-2004 en relación con el apartado 2.2.4) y 222/2005, de 24 de mayo (cuestión núm. 2677 2004 en relación con el apartado 2.2.4), y aplicada su doctrina en los AATC 347/2005, de 27 de septiembre (cuestión núm. 2342-2004 en relación con el apartado 1.3.3), 348/2005, de 27 de septiembre (cuestión núm. 2715-2004 en relación con el apartado 1.3.3) y 349/2005, de 27 de septiembre (cuestión núm. 2744-2004 en relación con el apartado 1.3.5), todas ellas planteadas respecto del art. 66 de la misma Ley 13/200 por el mismo órgano judicial,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tal norma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6952-2004 planteada por la Sección Séptima de la Sala de lo Contencioso-Administrativo de la Audiencia Nacional en el recurso núm. 31-2002.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