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junio de 2005 tuvo entrada en el Registro General de este Tribunal Constitucional un escrito de la Sección Séptima de la Sala de lo Contencioso-Administrativo de la Audiencia Nacional, al que se acompaña, junto al testimonio del correspondiente procedimiento, el Auto de la referida Sala de 10 de marzo de 2005, mediante el que se acuerda elevar a este Tribunal cuestión de inconstitucionalidad respecto del apartado 3.2.1 del art. 66 Ley 13/2000, de 28 de diciembre, de presupuestos generales del Estado para el año 2001, dado que pudiera ser contrario a los artículos 9.3, 31.1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29 de marzo de 2001 la Secretaría de Estado de Telecomunicaciones y para la Sociedad de la Información giró a la entidad mercantil “Gestevisión Telecinco, S.A.” una liquidación en concepto de tasa de reserva del dominio público radioeléctrico (núm. MZZ-0020024) correspondiente al período 1 de enero de 2001 a 31 de diciembre de 2001, sobre una base de 4.047.920.000 URRs (cantidad de dominio público reservado) y un valor de la URR de 0,0776953125 con un importe total de 314.504.409 ptas (1.890.209,57 €). Esta liquidación fue recurrida ante el Tribunal Económico-Administrativo Central (RG 3087/01; RS 285/01), el que por Resolución con fecha de 3 de diciembre de 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142-2002), la que, tras declarar los autos conclusos u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10 de marzo de 2005 la Sección Séptima de la Sala de lo Contencioso-Administrativo de la Audiencia Nacional acordó elevar a este Tribunal cuestión de inconstitucionalidad en relación con “el apartado 3.2.1 del art. 66 Ley 13/2000, de 28 de diciembre, de Presupuestos Generales del Estado para el año 2001, por posible vulneración de los arts. 9.3, 31.3 [ha de entenderse 31.1, como se indica a lo largo del Auto]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 y 31.1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han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3.2.1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la medida en que el problema planteado en la presente cuestión en relación con el apartado 3.2.1 del art. 66 de la ley 13/2000 es idéntico al que ya ha sido resuelto respecto de otros apartados del mismo proyecto legal que fueron objeto de los Autos de inadmisión anteriormente citados, procede en consecuencia, y por los mismos motivos expresados en aquéllos, inadmitir la cuestión de inconstitucionalidad que ahora se nos plantea.</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4346-2005 planteada por la Sección Séptima de la Sala de lo Contencioso-Administrativo de la Audiencia Nacional en el recurso núm. 142-2002.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