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142</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24 de abril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17 de diciembre de 2003 la Procuradora de los Tribunales doña Elena Paula Yustos Capilla, en nombre y representación de don Ramón Gutiérrez Ávila, interpuso recurso de amparo contra el Auto de la Sección Primera de la Audiencia Provincial de Ciudad Real de 18 de noviembre de 2003, denegatorio de la prescripción de la pena de arresto por el tiempo de dieciocho fines de semana, con las accesorias de suspensión de todo cargo público y de derecho de sufragio durante el tiempo de condena, impuesta al demandante de amparo por Sentencia firme del Juzgado de lo Penal núm.1 de esa misma ciudad con fecha de 30 de diciembre de 1996. En la demanda de amparo se solicitaba, por otrosí digo, la suspensión de la pena impuesta hasta tanto no se resuelva el presente recurso de amparo, dado que, habida cuenta de su corta extensión, la no suspensión de la misma haría perder al recurso su finalidad produciendo al demandante de amparo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24 de enero de 2006 la Sala Segunda acordó admitir a trámite la presente demanda de amparo así como formar la correspondiente pieza separada de suspensión de conformidad con lo solicitado por la parte actora. Por otra providencia de esa misma fecha la Sala acordó, de conformidad con lo dispuesto en el art. 56 LOTC, conceder un plazo común de tres días al Ministerio Fiscal y al demandante de amparo para que, dentro de dicho término,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evacuó el trámite de alegaciones mediante escrito registrado en este Tribunal con fecha de 7 de febrero de 2006, en el que, de conformidad con la reiterada doctrina dictada al respecto por este Tribunal, consideraba procedente la suspensión, exclusivamente, de la ejecución de la pena privativa de libertad impuesta al demandante de amparo, así como de las accesorias, no debiendo alcanzar tal efecto al resto de los pronunciamientos contenidos en la Sentencia dado que, al ser de contenido económico, su no suspensión no ocasionaría perjuicios de imposible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del recurrente, por su parte, evacuó idéntico trámite mediante escrito de fecha 1 de febrero de 2006, en el que reiteraba su petición de suspensión de la ejecución de la pena de arresto por tiempo de dieciocho fines de semana que le había sido impuesta por Sentencia firme.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(por todos, ATC 159/2001, de 18 de junio, FJ 2 y las resoluciones allí citadas), máxime si el recurrente no aduce razón alguna que justifique la procedencia de la suspensión en su caso concreto por los irreparables perjuicios que pudiera acarrearle la imposibilidad material de atender al pago, frustrando así la finalidad del amparo impetrado (por todos, ATC 249/2000, de 30 de octubre, FJ 2 y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general reseñada al caso presente conduce a acordar la suspensión interesada en lo relativo a la pena privativa de libertad, dado que, de no suspenderse, podría ocasionarse al recurrente un perjuicio irreparable, toda vez que, como ya hemos declarado en anteriores ocasiones (por todas: AATC 269/1998, de 26 de noviembre y 84/2002, de 20 de mayo), estando comprendida la duración de la condena (arresto por tiempo de dieciocho fines de semana) dentro de la posible duración de la tramitación del presente recurso, previsiblemente dicha pena privativa de libertad estaría a punto de cumplirse —o se habría cumplido ya en su totalidad— en dicho momento, lo que hace que, conforme también declarábamos en las ocasiones anteriormente mencionadas, los intereses generales asociados a la ejecución de toda Sentencia penal en lo que a privación de libertad se refiere se encuentren, en este caso, muy debilitados.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suspensión de la pena privativa de libertad conlleva asimismo la de la pena accesoria de suspensión de todo cargo público y del derecho de sufragio pasivo durante el tiempo de la condena, por seguir dicha pena la suerte de la principal a la que acompaña y no apreciarse que la suspensión de su ejecución pueda afectar a los derechos de terceros (AATC 131/2001, de 22 de mayo y 151/2001, de 18 de junio, entre otros muchos).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Conceder la suspensión de la ejecución solicitada exclusivamente en lo que a la pena de arresto por tiempo de dieciocho fines de semana y a las penas accesorias de suspensión de todo cargo público y del derecho de sufragio durante el tiempo de la condena</w:t>
      </w:r>
    </w:p>
    <w:p w:rsidRPr="" w:rsidR="00AD51A7" w:rsidRDefault="008777C4">
      <w:pPr>
        <w:rPr/>
      </w:pPr>
      <w:r w:rsidRPr="&lt;w:rPr xmlns:w=&quot;http://schemas.openxmlformats.org/wordprocessingml/2006/main&quot;&gt;&lt;w:szCs w:val=&quot;24&quot; /&gt;&lt;/w:rPr&gt;">
        <w:rPr/>
        <w:t xml:space="preserve">se refiere.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