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mayo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noviembre de 2004 el Procurador de los Tribunales don José Ignacio de Noriega Arquer, en nombre y representación de la Diputación Provincial de Cádiz, interpuso recurso de amparo contra el Auto dictado por la Sección Sexta de la Sala de lo Contencioso-Administrativo de la Audiencia Nacional, de 30 de septiembre de 2004, que desestimaba el incidente de nulidad de actuaciones formulado contra la Sentencia de 25 de junio de 2004, que declaraba la inadmisibilidad del recurso núm. 686-2001.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febrero de 2006 la Sala Segunda de este Tribunal acordó, respectivamente, admitir a trámite el presente recurso de amparo y formar la correspondiente pieza para la tramitación del incidente de suspensión, de conformidad con lo solicitado por la parte actora, concediendo un plazo común de tres días a la parte recurrente y al Ministerio Fiscal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mediante escrito registrado el 2 de marzo de 2006, se opone a la suspensión solicitada, puesto que “la demandante de amparo no ha justificado qué perjuicio le causa la resolución de desestimación del incidente de nulidad que pueda aliviarse con la suspensión de lo resuelto, ya que, aún en el supuesto de que se suspendiera la resolución recurrida, quedaría vigente la Sentencia que declara inadmisible el recurso contencioso-administrativo, con lo que la situación de la Administración aquí demandante quedaría igual. Mucho menos se ha fundamentado la irreparabilidad del perjuicio que le causa el Auto cuya suspensión solicita, ni tampoco cómo puede este perjuicio hacer perder al amparo su finalidad. La justificación de estos extremos es carga de la demandante de amparo, y su omisión determina la desestimación de la petición de suspensión ya que, si no corresponde al Tribunal Constitucional reconstruir de oficio las demandas de amparo, menos le compete intentar averiguar el perjuicio que puede deparar a la parte demandante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de la recurrente, mediante escrito registrado con fecha 2 de marzo de 2006, formuló alegaciones con las que reiteraba su petición de suspensión de la ejecución “del acto impugnado”, sustentando dicha petición en los arts. 233 LGT y 173 LBRL, normas que considera de aplicación dado que la pretensión contencioso- administrativa consistía en la declaración de los bienes de dominio público provincial como no sujetos a tributo alguno, y en la apariencia de buen derecho de la citada pretensión administrativa.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agotadoras de la vía judicial previa, la suspensión de su ejecución entraña siempre en sí misma una perturbación de la potestad jurisdiccional, que comprende el poder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cautelar de carácter excepcional y de aplicación restrictiva (AATC 2/2001, de 15 de enero; 45/2001, de 26 de febrero; 64/2001, de 26 de marzo; 78/2001, de 2 de abril, y 83/2001, de 23 de abril). Por ello la adopción de esta medida resulta pertinente sólo cuando la ejecución del fallo cause al solicitante de amparo un perjuicio irreparable en los derechos fundamentales invocados en el proceso constitucional, debiendo entenderse por perjuicio irreparable aquél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general reseñada al presente caso conduce a denegar la suspensión de la ejecución de las resoluciones impugnadas, de acuerdo con lo interesado por el Ministerio Fiscal. En primer lugar, conviene poner de manifiesto que la concreta resolución judicial cuya suspensión solicita la recurrente es un Auto que declara no haber lugar a la petición de nulidad de actuaciones interesada respecto de una Sentencia firme, es decir, en relación con una resolución judicial que pone fin al proceso por motivos estrictamente formales y sin entrar a considerar siquiera el fondo de la pretensión. Dichas resoluciones, por su propia naturaleza, no son susceptibles de ser suspendidas al ser meramente declarativas. Y, en segundo lugar, incluso si las resoluciones impugnadas tuvieran un contenido condenatorio, en este caso, de condena —directa o indirectamente— al pago de una concreta cantidad económica que la propia Sentencia impugnada valoró en una cuantía inferior a 150.253 euros, la demandante de amparo tampoco habría cumplido con la carga procesal que sobre ella recae de alegar y probar el carácter irreparable del perjuicio económico padecido, respecto de lo cual nada se dice en la demanda ni en el escrito de alegaciones.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interesada por la Diputación Provincial de Cádiz.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