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467-2003), el Auto de la referida Sala de 8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467-2003 interpuesto por “Unión Fenosa Generación, S.A.” ante la Sala de lo Contencioso-Administrativo del Tribunal Superior de Justicia de Extremadura, contra la Resolución de la Junta Económico-Administrativa Regional de Extremadura de fecha de 27 de enero de 2003, que desestima la reclamación (núm. 219-2002) interpuesta contra la Resolución del Jefe de Servicio de Gestión Tributaria e Ingresos de la Consejería de Economía, Industria y Hacienda, de fecha de 30 de octubre de 2002, por la que se desestima la petición de devolución de la cantidad ingresada como consecuencia de la declaración-liquidación presentada por el Impuesto extremeño sobre Instalaciones que incidan en el medio ambiente correspondiente al ejercicio 2002.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Miguel Prieto Benítez,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artículo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8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1228-2005,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