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marzo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508-2002), el Auto de la referida Sala de 11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508-2002 interpuesto por “Unión Fenosa Generación, S.A.” ante la Sala de lo Contencioso-Administrativo del Tribunal Superior de Justicia de Extremadura, contra la Resolución de la Junta Económico-Administrativa Regional de Extremadura de fecha 18 de febrero de 2002, desestimatoria de la reclamación (núm. 119-2001) interpuesta contra la Resolución de la Dirección General de Ingresos de la Consejería de Economía, Industria y Comercio de la Junta de Extremadura con fecha de 16 de octubre de 2001, que deniega la petición de devolución de ingresos indebidos en relación con el Impuesto extremeño sobre instalaciones que incidan en el medio ambiente correspondiente al ejercicio 2001.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Tercera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 de noviembre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don José Ángel Rodríguez Jiménez,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11 de febrero de 2005,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1792-2005,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