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marzo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1124/99), el Auto de la referida Sala de 14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1124/99 interpuesto por “Unión Eléctrica Fenosa, S.A.” ante la Sala de lo Contencioso-Administrativo del Tribunal Superior de Justicia de Extremadura, contra la Resolución de la Junta Económico-Administrativa Regional de Extremadura de fecha 26 de abril de 1999, desestimatoria de la reclamación (núm. 5/98) interpuesta contra la Resolución de la Dirección General de Ingresos de la Consejería de Economía, Industria y Comercio de la Junta de Extremadura con fecha de 1 de octubre de 1998, que desestima la petición de devolución de ingresos indebidos planteada en relación con el Impuesto extremeño sobre Instalaciones que incidan en el medio ambiente correspondiente al ejercicio 1998.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14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1795-2005,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