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256</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9 de enero de 2006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775-2001), el Auto de la referida Sala de 13 de diciembre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775-2001 interpuesto por “Endesa Generación, S.A., S.U.” ante la Sala de lo Contencioso-Administrativo del Tribunal Superior de Justicia de Extremadura, contra la Resolución de la Junta Económico-Administrativa Regional de Extremadura de fecha de 6 de abril de 2001, desestimatoria de la reclamación (núm. 926-2000) interpuesta contra la Resolución de la Dirección General de Ingresos de la Consejería de Economía, Industria y Comercio de la Junta de Extremadura con fecha de 3 de octubre de 2000 que desestima la solicitud de devolución de ingresos indebidos en relación con el Impuesto extremeño sobre instalaciones que incidan en el medio ambiente correspondiente al ejercicio 2000. Admitido y tramitado el citado recurso, y una vez conclusos los autos, el día 24 de noviembre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31 de enero de 2006, la Sección Tercera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44, de 21 de febrero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15 de febrero de 2006 se recibió una comunicación del Presidente del Senado, en el sentido de que se tuviera a dicha Cámara por personada en el procedimiento y por ofrecida su colaboración a los efectos del art. 88.1 LOTC. Posteriormente, por escrito registrado el 23 de febrero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23 de febrero de 2006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evacuó el trámite conferido mediante escrito registrado el día 18 de febrero de 2006,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3 de marzo de 2006,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10 de marzo de 2006 presentó su escrito de alegaciones don Salvador Mateos Sánchez,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13 de diciembre de 2005,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233-2006,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