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febrero de 2006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761-2005), el Auto de la referida Sala de 13 de febrero de 2006,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761-2005 interpuesto por “Endesa Distribución Eléctrica, S.L., S.U.” ante la Sala de lo Contencioso-Administrativo del Tribunal Superior de Justicia de Extremadura, contra la Resolución de la Junta Económico-Administrativa Regional de Extremadura de fecha de 6 de mayo de 2005, desestimatoria de la reclamación (núm. 174-2004) interpuesta contra la Resolución de la Dirección General de Ingresos de la Consejería de Economía, Industria y Comercio de la Junta de Extremadura con fecha de 6 de octubre de 2004 por la que se desestima la petición de devolución de ingresos indebidos en relación con el Impuesto extremeño sobre instalaciones que incidan en el medio ambiente correspondiente al ejercicio 2004. Admitido y tramitado el citado recurso, y una vez conclusos los autos, el día 11 de enero de 2006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del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la Sección Segunda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76, de 30 de marzo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30 de marzo de 2006 se recibió una comunicación del Presidente del Senado, en el sentido de que se tuviera a dicha Cámara por personada en el procedimiento y por ofrecida su colaboración a los efectos del art. 88.1 LOTC. Posteriormente, el día 31 de marzo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24 de marzo de 2006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día 7 de abril de 2006, don Francisco Javier Ciriero Soleto, Letrado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11 de abril de 2006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fechado el día 17 de abril de 2006,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13 de febrero de 2006,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2078-2006,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