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24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12 de marzo de 2002, el Letrado de la Junta de Comunidades de Castilla-La Mancha, en la representación que legalmente ostenta, promueve recurso de inconstitucionalidad con los arts. 3.2; 7.1 y 3; 8.1; 2.1.c), en su conexión con los anteriores; y disposición final 4ª, 1, segundo inciso, de la Ley 18/2001, de 12 de diciembre, general de estabilidad presupuestaria.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Tercera de 23 de abril de 2002, el Senado se personó en el proceso mediante escrito de 16 de mayo de 2006 pero no hizo alegaciones. El Abogado del Estado formuló sus alegaciones mediante escrito de 3 de junio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7 de septiembre de 2006, el Letrado de la Junta de Comunidades de Castilla-La Mancha presenta en este Tribunal un escrito en el que expuso que, debidamente autorizado en virtud de acuerdo del Gobierno de la Comunidad Autónoma de 1 de agosto de 2006, solicitaba tener por desistido a dicho Gobierno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26 de septiembre de 2006, acordó oír al Abogado del Estado y a la representación procesal del Senado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29 de septiembre de 2006, el Letrado de las Cortes Generales Jefe de la Asesoría Jurídica del Senado se dirige al Tribunal y no formula reparos a la solicitud de desistimiento. </w:t>
      </w:r>
    </w:p>
    <w:p w:rsidRPr="00C21FFE" w:rsidR="00AD51A7" w:rsidRDefault="008777C4">
      <w:pPr>
        <w:rPr/>
      </w:pPr>
      <w:r w:rsidRPr="&lt;w:rPr xmlns:w=&quot;http://schemas.openxmlformats.org/wordprocessingml/2006/main&quot;&gt;&lt;w:lang w:val=&quot;es-ES_tradnl&quot; /&gt;&lt;/w:rPr&gt;">
        <w:rPr/>
        <w:t xml:space="preserve">Por su parte, el 27 de septiembre de 2005,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3 y 20.2 y 3 LEC), que puede ser parcial, cuando afecta a alguna de las pretensiones en caso de pluralidad del objeto, y total, cuando se refiere a todas o a la única pretensión (SSTC 96/1990, de 24</w:t>
      </w:r>
    </w:p>
    <w:p w:rsidRPr="00C21FFE" w:rsidR="00AD51A7" w:rsidRDefault="008777C4">
      <w:pPr>
        <w:rPr/>
      </w:pPr>
      <w:r w:rsidRPr="&lt;w:rPr xmlns:w=&quot;http://schemas.openxmlformats.org/wordprocessingml/2006/main&quot;&gt;&lt;w:lang w:val=&quot;es-ES_tradnl&quot; /&gt;&lt;/w:rPr&gt;">
        <w:rPr/>
        <w:t xml:space="preserve">de 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del proceso hasta su finalización por Sentencia (AATC, por todos, 233/1993, de 26 de enero; 173/1997, de 20 de mayo; 278/2001, de 30 de octubre; 129/2002, de 16 de julio; y 43/2004, de 10 de</w:t>
      </w:r>
    </w:p>
    <w:p w:rsidRPr="00C21FFE" w:rsidR="00AD51A7" w:rsidRDefault="008777C4">
      <w:pPr>
        <w:rPr/>
      </w:pPr>
      <w:r w:rsidRPr="&lt;w:rPr xmlns:w=&quot;http://schemas.openxmlformats.org/wordprocessingml/2006/main&quot;&gt;&lt;w:lang w:val=&quot;es-ES_tradnl&quot; /&gt;&lt;/w:rPr&gt;">
        <w:rPr/>
        <w:t xml:space="preserve">febrero).</w:t>
      </w:r>
    </w:p>
    <w:p w:rsidRPr="00C21FFE" w:rsidR="00AD51A7" w:rsidRDefault="008777C4">
      <w:pPr>
        <w:rPr/>
      </w:pPr>
      <w:r w:rsidRPr="&lt;w:rPr xmlns:w=&quot;http://schemas.openxmlformats.org/wordprocessingml/2006/main&quot;&gt;&lt;w:lang w:val=&quot;es-ES_tradnl&quot; /&gt;&lt;/w:rPr&gt;">
        <w:rPr/>
        <w:t xml:space="preserve">El Letrado del Gobierno de la Junta de Comunidades de Castilla-La Mancha, debidamente autorizado, según certificación del Acuerdo adoptado al efecto por dicho Gobierno, pide que se le tenga por desistido del presente recurso de inconstitucionalidad.  El Abogado del Estado y la representación procesal del Senado no se oponen a ello,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del Gobierno de la Junta de Comunidades de Castilla-La Mancha, en la representación que legalmente ostenta, del recurso de inconstitucionalidad núm. 1471-2002, planteado en relación con los arts. 3.2; 7.1 y 3; 8.1; 2.1.c),</w:t>
      </w:r>
    </w:p>
    <w:p w:rsidRPr="" w:rsidR="00AD51A7" w:rsidRDefault="008777C4">
      <w:pPr>
        <w:rPr/>
      </w:pPr>
      <w:r w:rsidRPr="&lt;w:rPr xmlns:w=&quot;http://schemas.openxmlformats.org/wordprocessingml/2006/main&quot;&gt;&lt;w:szCs w:val=&quot;24&quot; /&gt;&lt;/w:rPr&gt;">
        <w:rPr/>
        <w:t xml:space="preserve">en su conexión con los anteriores; y disposición final 4ª, 1, segundo inciso, de la Ley 18/2001, de 12 de diciembre, general de estabilidad presupuestaria,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