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octubre de 2004 tuvo entrada en el Registro de este Tribunal escrito firmado por el Procurador de los Tribunales don Manuel Infante Sánchez, en representación de la Mercantil “Triturados Reylo, S.A.”, en virtud del cual interponía recurso de amparo contra el Auto de 29 de julio de 2004 de la Sección Primera de la Sala de lo Contencioso-Administrativo del Tribunal Superior de Justicia de Murcia, que desestimó el incidente de nulidad de actuaciones interpuesto por la demandante de amparo contra Auto de 9 de febrero de 2004 que, a su vez, desestima el recurso de súplica interpuesto frente a la providencia de 10 de diciembre de 2003, que declaraba la caducidad, por no presentación de la demanda dentro del término de veinte días concedido al efecto en el procedimiento ordinario núm. 1940-2003. Dicho recurso contencioso-administrativo se interponía contra Resoluciones de la Consejería de Ciencia, Tecnología, Industria y Comercio de la Región de Murcia, dictadas en expediente sancionador en el que se imponía a la mercantil recurrente una sanción de 27.210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denuncia la vulneración del derecho a la tutela judicial efectiva (art. 24.1 CE) como consecuencia de no habérsele admitido la presentación de la demanda realizada en plazo al amparo del art. 135.1 LEC, y mediante Otrosí interesa la suspensión de la ejecución de los dos Autos recurridos “por cuanto la ejecución puede ocasionar un perjuicio a mi mandante que haría perder al amparo su finalidad”, sin que se produzca perturbación de intereses generales ni de terceros, ofreciendo la caución que la Sala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20 de octubre de 2006 la Sala Segunda decidió admitir a trámite el presente recurso de amparo, acordando asimismo que se formara pieza separada para tramitar la suspensión interesada por la actora, concediendo, conforme a lo dispuesto en el art. 56 LOTC,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presentó escrito en este Tribunal el 29 de octubre de 2006, en el que reitera los argumentos expuestos en su escrito de demanda, en el que se explica que el perjuicio que produciría la no suspensión de los Autos impugnados vendría de la devolución ya acordada del expediente a la Administración y de la ejecución de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4 de diciembre de 2006, tras recordar la doctrina constitucional al respecto, considera que la sanción impuesta le origina a la recurrente únicamente perjuicios de carácter económico. Por ello, en “su solicitud de suspensión, la demandante de amparo se limita a invocar […] un genérico perjuicio, que ni siquiera califica de irreparable, sin concretarlo ni justificarlo”; por lo demás, entiende que “la cuantía de la sanción no es tan elevada que, por sí misma, pueda hacer considerar que el perjuicio que pueda causarse a la compañía demandante de amparo deba ser considerado irreparable” Por todo lo cual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que se configura así como una medida provisional de carácter excepcional y de aplicación restrictiva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293/2001, de 26 de noviembre, FJ 1, 211/2004, de 2 junio, FJ 2, y 149/2006, de 8 de mayo, FJ 1,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hay que señalar que la recurrente se limita a alegar, en síntesis, que la ejecución puede ocasionarle un perjuicio que haría perder al amparo su finalidad, pero ni concreta en qué consistiría ese perjuicio ni acredita la irreparabilidad que para sus derechos fundamentales pueda conllevar dicha ejecución. Por lo demás, el montante de la sanción controvertida (27.210 euros) no permite augurar que su eventual ejecución derive en un efectivo perjuicio irreparable para la entidad demandante. Por tanto, versando todo el litigio sobre una sanción administrativa de contenido económico, le resulta aplicable la doctrina recogida en el último párrafo del fundamento jurídico anterior, debiendo reafirmarse el interés público en el cumplimiento de las resoluciones judiciales, lo que nos lleva a concluir que no procede la suspensión de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6465-2004, promovido por “Triturados Reylo,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dieciocho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