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22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121-2003) interpuesto por la mercantil Promociones Nadima SL contra la resolución del Ayuntamiento de Hellín (Albacete) por la que se acuerda no proceder a la devolución de las cantidades ingresadas por la misma y representativas del 10 por 100 del aprovechamiento urbanístico que la empresa debe ceder para que le sea concedida licencia de obra de nueva planta. Conclusas las actuaciones se dictó Auto de 16 de septiembre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31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10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w:t>
      </w:r>
    </w:p>
    <w:p w:rsidRPr="00C21FFE" w:rsidR="00AD51A7" w:rsidRDefault="008777C4">
      <w:pPr>
        <w:rPr/>
      </w:pPr>
      <w:r w:rsidRPr="&lt;w:rPr xmlns:w=&quot;http://schemas.openxmlformats.org/wordprocessingml/2006/main&quot;&gt;&lt;w:lang w:val=&quot;es-ES_tradnl&quot; /&gt;&lt;/w:rPr&gt;">
        <w:rPr/>
        <w:t xml:space="preserve">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9506-2005,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