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3-2003) interpuesto por la mercantil Automóviles Vegui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 de septiembre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