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16 de enero de 2006, al que se acompaña el correspondiente Auto de 18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334-2000) interpuesto por la mercantil Indunav Albacete, S.L., contra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mayo de 2001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el plazo de quince días pudieran personarse en el proceso y formular alegaciones. 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26 de abril de 2006, solicitando que se le tuviera por personado y parte en nombre del Gobierno y que se dictase en su día Sentencia estimatoria de la cuestión, declarando inconstitucionales y nulos los arts. 51.1.2 e) y 69.2.a.2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28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4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9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este Tribunal el día 19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24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366-2006,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