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322-2000) interpuesto por la mercantil Atrio Albacete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mayo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12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