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12 de diciembre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101/2004) interpuesto por Urbana y Desarrollos Alfaro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Por providencia de 29 de marzo de 2004 se acordó la suspensión de las actuaciones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29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