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22 de noviembre de 2005, el Juzgado de lo Contencioso- 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administrativo (tramitado con el núm. 189/2003) interpuesto por la mercantil Gestión Vereda Tres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7 de abril de 2004 en virtud del cual quedaban en suspenso en cuanto al plazo establecido para dictar Sentencia hasta tanto no se resolviera el recurso de inconstitucionalidad núm. 3958/98, interpuesto por la Abogacía del Estado contra determinados preceptos de la Ley de las Cortes de Castilla- 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letras d) y e); artículo 69, apartado 2 y artículo 71.3 en cuanto resulta relacionado con el 69, todos ellos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29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950-2006,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