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12 de diciembre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22/2004) interpuesto por la mercantil Construcciones Gallego y Gracia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Por providencia de 29 de marzo de 2004 quedaban en suspenso las actuaciones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letras d) y e); artículo 69, apartado 2 y artículo 71.3 en cuanto resulta relacionado con el 69, todos ellos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27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1201-2006,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