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14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en su sesión del día de hoy, y advertido error en su Sentencia de 10 de mayo, dictada en el proceso al margen referenciado, acuerda realizar la presente rectificación en el sentido de sustituir del fallo el párrafo “otorgar el amparo solicitado por el Partido Socialista Obrero Español (PSOE)” por el siguiente: “Otorgar el amparo solicitado por la Candidatura de Independientes de Porto do Son.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En consecuencia, se dicta el presente Auto de aclaración.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