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agosto de 2003 el Abogado don Luis Miguel Pérez Espadas formuló recurso de amparo en interés de don Ibrahim Kone contra el Auto del Juzgado de Instrucción núm. 3 de Puerto del Rosario de 23 de julio anterior, por el que se denegó la incoación de un procedimiento de habeas corpus. Solicitó que se le tuviera por parte en representación del Sr. Kone, entendiéndose con él las sucesivas diligencias hasta que, dado que el citado Sr. Kone tenía derecho a asistencia jurídica gratuita en virtud del artículo 22.1 de la Ley Orgánica 4/2000,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28 de febrero de 2005 la designación, con carácter provisional, de la colegiada doña María Jesús Fernández Salagre.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28 siguiente, el Ilustre Colegio de Abogados de Madrid comunicó que había procedido al archivo de la solicitud de asistencia jurídica gratuita de don Ibrahim Kone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Kone suponía, de acuerdo con el art. 18 LAJG, que quedara sin efecto la designación provisional efectuada en su día de la Procuradora doña María Jesús Fernández Salagre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23 de julio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Órgánica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5186-2003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Ibrahim Kone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Kone,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Kone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Kone.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Ibrahim Kone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